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4D" w:rsidRDefault="00BD385E" w:rsidP="00B47A94">
      <w:pPr>
        <w:spacing w:after="0" w:line="240" w:lineRule="auto"/>
        <w:contextualSpacing/>
        <w:jc w:val="center"/>
        <w:rPr>
          <w:rFonts w:asciiTheme="majorHAnsi" w:hAnsiTheme="majorHAnsi" w:cstheme="minorHAnsi"/>
          <w:b/>
          <w:sz w:val="24"/>
          <w:szCs w:val="24"/>
        </w:rPr>
      </w:pPr>
      <w:bookmarkStart w:id="0" w:name="_GoBack"/>
      <w:bookmarkEnd w:id="0"/>
      <w:r>
        <w:rPr>
          <w:rFonts w:asciiTheme="majorHAnsi" w:hAnsiTheme="majorHAnsi" w:cstheme="minorHAnsi"/>
          <w:b/>
          <w:sz w:val="24"/>
          <w:szCs w:val="24"/>
        </w:rPr>
        <w:t xml:space="preserve">World Bank </w:t>
      </w:r>
      <w:r w:rsidR="00CE0F4D">
        <w:rPr>
          <w:rFonts w:asciiTheme="majorHAnsi" w:hAnsiTheme="majorHAnsi" w:cstheme="minorHAnsi"/>
          <w:b/>
          <w:sz w:val="24"/>
          <w:szCs w:val="24"/>
        </w:rPr>
        <w:t>Guidance Note</w:t>
      </w:r>
    </w:p>
    <w:p w:rsidR="00CE0F4D" w:rsidRDefault="00CE0F4D" w:rsidP="00B47A94">
      <w:pPr>
        <w:spacing w:after="0" w:line="240" w:lineRule="auto"/>
        <w:contextualSpacing/>
        <w:jc w:val="center"/>
        <w:rPr>
          <w:rFonts w:asciiTheme="majorHAnsi" w:hAnsiTheme="majorHAnsi" w:cstheme="minorHAnsi"/>
          <w:b/>
          <w:sz w:val="24"/>
          <w:szCs w:val="24"/>
        </w:rPr>
      </w:pPr>
      <w:r>
        <w:rPr>
          <w:rFonts w:asciiTheme="majorHAnsi" w:hAnsiTheme="majorHAnsi" w:cstheme="minorHAnsi"/>
          <w:b/>
          <w:sz w:val="24"/>
          <w:szCs w:val="24"/>
        </w:rPr>
        <w:t xml:space="preserve">Strengthening </w:t>
      </w:r>
      <w:r w:rsidR="00B47A94" w:rsidRPr="00206DC5">
        <w:rPr>
          <w:rFonts w:asciiTheme="majorHAnsi" w:hAnsiTheme="majorHAnsi" w:cstheme="minorHAnsi"/>
          <w:b/>
          <w:sz w:val="24"/>
          <w:szCs w:val="24"/>
        </w:rPr>
        <w:t xml:space="preserve">capacity for dispute resolution and grievance </w:t>
      </w:r>
      <w:r w:rsidR="009574DC" w:rsidRPr="00206DC5">
        <w:rPr>
          <w:rFonts w:asciiTheme="majorHAnsi" w:hAnsiTheme="majorHAnsi" w:cstheme="minorHAnsi"/>
          <w:b/>
          <w:sz w:val="24"/>
          <w:szCs w:val="24"/>
        </w:rPr>
        <w:t>redress</w:t>
      </w:r>
    </w:p>
    <w:p w:rsidR="002143FF" w:rsidRPr="00206DC5" w:rsidRDefault="00CE0F4D" w:rsidP="00B47A94">
      <w:pPr>
        <w:spacing w:after="0" w:line="240" w:lineRule="auto"/>
        <w:contextualSpacing/>
        <w:jc w:val="center"/>
        <w:rPr>
          <w:rFonts w:asciiTheme="majorHAnsi" w:hAnsiTheme="majorHAnsi" w:cstheme="minorHAnsi"/>
          <w:b/>
          <w:sz w:val="24"/>
          <w:szCs w:val="24"/>
        </w:rPr>
      </w:pPr>
      <w:proofErr w:type="gramStart"/>
      <w:r>
        <w:rPr>
          <w:rFonts w:asciiTheme="majorHAnsi" w:hAnsiTheme="majorHAnsi" w:cstheme="minorHAnsi"/>
          <w:b/>
          <w:sz w:val="24"/>
          <w:szCs w:val="24"/>
        </w:rPr>
        <w:t>in</w:t>
      </w:r>
      <w:proofErr w:type="gramEnd"/>
      <w:r>
        <w:rPr>
          <w:rFonts w:asciiTheme="majorHAnsi" w:hAnsiTheme="majorHAnsi" w:cstheme="minorHAnsi"/>
          <w:b/>
          <w:sz w:val="24"/>
          <w:szCs w:val="24"/>
        </w:rPr>
        <w:t xml:space="preserve"> REDD+ Readiness Phase</w:t>
      </w:r>
    </w:p>
    <w:p w:rsidR="00B47A94" w:rsidRPr="00206DC5" w:rsidRDefault="00B47A94" w:rsidP="00B47A94">
      <w:pPr>
        <w:spacing w:after="0" w:line="240" w:lineRule="auto"/>
        <w:contextualSpacing/>
        <w:jc w:val="center"/>
        <w:rPr>
          <w:rFonts w:asciiTheme="majorHAnsi" w:hAnsiTheme="majorHAnsi" w:cstheme="minorHAnsi"/>
          <w:b/>
          <w:sz w:val="24"/>
          <w:szCs w:val="24"/>
        </w:rPr>
      </w:pPr>
    </w:p>
    <w:p w:rsidR="00A50701" w:rsidRPr="00206DC5" w:rsidRDefault="00A50701" w:rsidP="00636EA2">
      <w:pPr>
        <w:pStyle w:val="ListParagraph"/>
        <w:numPr>
          <w:ilvl w:val="0"/>
          <w:numId w:val="3"/>
        </w:numPr>
        <w:spacing w:after="0" w:line="240" w:lineRule="auto"/>
        <w:jc w:val="both"/>
        <w:rPr>
          <w:rFonts w:asciiTheme="majorHAnsi" w:hAnsiTheme="majorHAnsi" w:cstheme="minorHAnsi"/>
          <w:b/>
          <w:sz w:val="24"/>
          <w:szCs w:val="24"/>
        </w:rPr>
      </w:pPr>
      <w:r w:rsidRPr="00206DC5">
        <w:rPr>
          <w:rFonts w:asciiTheme="majorHAnsi" w:hAnsiTheme="majorHAnsi" w:cstheme="minorHAnsi"/>
          <w:b/>
          <w:sz w:val="24"/>
          <w:szCs w:val="24"/>
        </w:rPr>
        <w:t>Background</w:t>
      </w:r>
    </w:p>
    <w:p w:rsidR="00A50701" w:rsidRPr="00206DC5" w:rsidRDefault="00A50701" w:rsidP="00636EA2">
      <w:pPr>
        <w:spacing w:after="0" w:line="240" w:lineRule="auto"/>
        <w:jc w:val="both"/>
        <w:rPr>
          <w:rFonts w:asciiTheme="majorHAnsi" w:hAnsiTheme="majorHAnsi" w:cstheme="minorHAnsi"/>
          <w:b/>
          <w:sz w:val="24"/>
          <w:szCs w:val="24"/>
        </w:rPr>
      </w:pPr>
    </w:p>
    <w:p w:rsidR="00A54A58" w:rsidRPr="00206DC5" w:rsidRDefault="00636EA2" w:rsidP="00636EA2">
      <w:pPr>
        <w:spacing w:after="0" w:line="240" w:lineRule="auto"/>
        <w:jc w:val="both"/>
        <w:rPr>
          <w:rFonts w:asciiTheme="majorHAnsi" w:hAnsiTheme="majorHAnsi" w:cstheme="minorHAnsi"/>
          <w:sz w:val="24"/>
          <w:szCs w:val="24"/>
        </w:rPr>
      </w:pPr>
      <w:r w:rsidRPr="00206DC5">
        <w:rPr>
          <w:rFonts w:asciiTheme="majorHAnsi" w:hAnsiTheme="majorHAnsi"/>
          <w:sz w:val="24"/>
          <w:szCs w:val="24"/>
        </w:rPr>
        <w:t>According to the FMT Note on Enhancing Capacity for Dispute Resolution, a</w:t>
      </w:r>
      <w:r w:rsidR="00726C3B" w:rsidRPr="00206DC5">
        <w:rPr>
          <w:rFonts w:asciiTheme="majorHAnsi" w:hAnsiTheme="majorHAnsi"/>
          <w:sz w:val="24"/>
          <w:szCs w:val="24"/>
        </w:rPr>
        <w:t xml:space="preserve"> national feedback and grievance redress mechanism needs to be effectively available, and if necessary strengthened, as part of the country's REDD+ institutional arrangements. Such a mechanism needs to be available to REDD+ stakeholders from the earliest stages of R-PP implementation in order to facilitate handling of any request for feedback or complaint by any REDD+ Readiness stakeholders, wherever they originate, with particular attention to providing access to geographically, culturally or economically isolated or excluded groups.</w:t>
      </w:r>
      <w:r w:rsidR="002275F6">
        <w:rPr>
          <w:rFonts w:asciiTheme="majorHAnsi" w:hAnsiTheme="majorHAnsi"/>
          <w:sz w:val="24"/>
          <w:szCs w:val="24"/>
        </w:rPr>
        <w:t xml:space="preserve"> </w:t>
      </w:r>
      <w:r w:rsidR="002275F6" w:rsidRPr="0065750F">
        <w:rPr>
          <w:rFonts w:asciiTheme="majorHAnsi" w:hAnsiTheme="majorHAnsi"/>
          <w:b/>
          <w:sz w:val="24"/>
          <w:szCs w:val="24"/>
        </w:rPr>
        <w:t>This note proposes an approach to strengthening grievance capacity in the Readiness phase.</w:t>
      </w:r>
    </w:p>
    <w:p w:rsidR="00A54A58" w:rsidRPr="00206DC5" w:rsidRDefault="00A54A58" w:rsidP="00636EA2">
      <w:pPr>
        <w:spacing w:after="0" w:line="240" w:lineRule="auto"/>
        <w:jc w:val="both"/>
        <w:rPr>
          <w:rFonts w:asciiTheme="majorHAnsi" w:hAnsiTheme="majorHAnsi" w:cstheme="minorHAnsi"/>
          <w:b/>
          <w:sz w:val="24"/>
          <w:szCs w:val="24"/>
        </w:rPr>
      </w:pPr>
    </w:p>
    <w:p w:rsidR="00A50701" w:rsidRPr="00206DC5" w:rsidRDefault="00A50701" w:rsidP="00636EA2">
      <w:pPr>
        <w:spacing w:after="0" w:line="240" w:lineRule="auto"/>
        <w:contextualSpacing/>
        <w:jc w:val="both"/>
        <w:rPr>
          <w:rFonts w:asciiTheme="majorHAnsi" w:hAnsiTheme="majorHAnsi" w:cstheme="minorHAnsi"/>
          <w:b/>
          <w:sz w:val="24"/>
          <w:szCs w:val="24"/>
        </w:rPr>
      </w:pPr>
    </w:p>
    <w:p w:rsidR="00DE46DD" w:rsidRPr="00206DC5" w:rsidRDefault="002275F6" w:rsidP="00636EA2">
      <w:pPr>
        <w:pStyle w:val="ListParagraph"/>
        <w:numPr>
          <w:ilvl w:val="0"/>
          <w:numId w:val="3"/>
        </w:numPr>
        <w:spacing w:after="0" w:line="240" w:lineRule="auto"/>
        <w:jc w:val="both"/>
        <w:rPr>
          <w:rFonts w:asciiTheme="majorHAnsi" w:hAnsiTheme="majorHAnsi" w:cstheme="minorHAnsi"/>
          <w:sz w:val="24"/>
          <w:szCs w:val="24"/>
        </w:rPr>
      </w:pPr>
      <w:r>
        <w:rPr>
          <w:rFonts w:asciiTheme="majorHAnsi" w:hAnsiTheme="majorHAnsi" w:cstheme="minorHAnsi"/>
          <w:b/>
          <w:color w:val="000000"/>
          <w:sz w:val="24"/>
          <w:szCs w:val="24"/>
        </w:rPr>
        <w:t>Readiness versus Carbon Fund</w:t>
      </w:r>
    </w:p>
    <w:p w:rsidR="00636EA2" w:rsidRPr="00206DC5" w:rsidRDefault="00636EA2" w:rsidP="00636EA2">
      <w:pPr>
        <w:spacing w:after="0" w:line="240" w:lineRule="auto"/>
        <w:jc w:val="both"/>
        <w:rPr>
          <w:rFonts w:asciiTheme="majorHAnsi" w:hAnsiTheme="majorHAnsi" w:cstheme="minorHAnsi"/>
          <w:sz w:val="24"/>
          <w:szCs w:val="24"/>
        </w:rPr>
      </w:pPr>
    </w:p>
    <w:p w:rsidR="00B33092" w:rsidRPr="00206DC5" w:rsidRDefault="00636EA2" w:rsidP="00636EA2">
      <w:pPr>
        <w:spacing w:after="0" w:line="240" w:lineRule="auto"/>
        <w:jc w:val="both"/>
        <w:rPr>
          <w:rFonts w:asciiTheme="majorHAnsi" w:hAnsiTheme="majorHAnsi" w:cstheme="minorHAnsi"/>
          <w:b/>
          <w:sz w:val="24"/>
          <w:szCs w:val="24"/>
        </w:rPr>
      </w:pPr>
      <w:r w:rsidRPr="00206DC5">
        <w:rPr>
          <w:rFonts w:asciiTheme="majorHAnsi" w:hAnsiTheme="majorHAnsi" w:cstheme="minorHAnsi"/>
          <w:sz w:val="24"/>
          <w:szCs w:val="24"/>
        </w:rPr>
        <w:t xml:space="preserve">The introduction of REDD will transform the dynamics of conflicts over natural resources. The point is not to prevent or </w:t>
      </w:r>
      <w:proofErr w:type="spellStart"/>
      <w:r w:rsidRPr="00206DC5">
        <w:rPr>
          <w:rFonts w:asciiTheme="majorHAnsi" w:hAnsiTheme="majorHAnsi" w:cstheme="minorHAnsi"/>
          <w:sz w:val="24"/>
          <w:szCs w:val="24"/>
        </w:rPr>
        <w:t>supress</w:t>
      </w:r>
      <w:proofErr w:type="spellEnd"/>
      <w:r w:rsidRPr="00206DC5">
        <w:rPr>
          <w:rFonts w:asciiTheme="majorHAnsi" w:hAnsiTheme="majorHAnsi" w:cstheme="minorHAnsi"/>
          <w:sz w:val="24"/>
          <w:szCs w:val="24"/>
        </w:rPr>
        <w:t xml:space="preserve"> conflicts but to predict how they can be created or fuelled by REDD+ and address them.</w:t>
      </w:r>
      <w:r w:rsidRPr="00206DC5">
        <w:rPr>
          <w:rFonts w:asciiTheme="majorHAnsi" w:hAnsiTheme="majorHAnsi" w:cstheme="minorHAnsi"/>
          <w:b/>
          <w:sz w:val="24"/>
          <w:szCs w:val="24"/>
        </w:rPr>
        <w:t xml:space="preserve"> </w:t>
      </w:r>
      <w:r w:rsidR="00074664" w:rsidRPr="00206DC5">
        <w:rPr>
          <w:rFonts w:asciiTheme="majorHAnsi" w:hAnsiTheme="majorHAnsi" w:cstheme="minorHAnsi"/>
          <w:color w:val="000000"/>
          <w:sz w:val="24"/>
          <w:szCs w:val="24"/>
        </w:rPr>
        <w:t xml:space="preserve">The </w:t>
      </w:r>
      <w:r w:rsidR="00A50701" w:rsidRPr="00206DC5">
        <w:rPr>
          <w:rFonts w:asciiTheme="majorHAnsi" w:hAnsiTheme="majorHAnsi" w:cstheme="minorHAnsi"/>
          <w:color w:val="000000"/>
          <w:sz w:val="24"/>
          <w:szCs w:val="24"/>
        </w:rPr>
        <w:t xml:space="preserve">purpose of this work is to </w:t>
      </w:r>
      <w:r w:rsidR="00074664" w:rsidRPr="00206DC5">
        <w:rPr>
          <w:rFonts w:asciiTheme="majorHAnsi" w:hAnsiTheme="majorHAnsi" w:cstheme="minorHAnsi"/>
          <w:color w:val="000000"/>
          <w:sz w:val="24"/>
          <w:szCs w:val="24"/>
        </w:rPr>
        <w:t xml:space="preserve">help </w:t>
      </w:r>
      <w:r w:rsidR="00B33092" w:rsidRPr="00206DC5">
        <w:rPr>
          <w:rFonts w:asciiTheme="majorHAnsi" w:hAnsiTheme="majorHAnsi" w:cstheme="minorHAnsi"/>
          <w:color w:val="000000"/>
          <w:sz w:val="24"/>
          <w:szCs w:val="24"/>
        </w:rPr>
        <w:t xml:space="preserve">countries </w:t>
      </w:r>
      <w:r w:rsidR="00074664" w:rsidRPr="00206DC5">
        <w:rPr>
          <w:rFonts w:asciiTheme="majorHAnsi" w:hAnsiTheme="majorHAnsi" w:cstheme="minorHAnsi"/>
          <w:color w:val="000000"/>
          <w:sz w:val="24"/>
          <w:szCs w:val="24"/>
        </w:rPr>
        <w:t>address the contentious issues that can prevent selected co</w:t>
      </w:r>
      <w:r w:rsidRPr="00206DC5">
        <w:rPr>
          <w:rFonts w:asciiTheme="majorHAnsi" w:hAnsiTheme="majorHAnsi" w:cstheme="minorHAnsi"/>
          <w:color w:val="000000"/>
          <w:sz w:val="24"/>
          <w:szCs w:val="24"/>
        </w:rPr>
        <w:t xml:space="preserve">untries from crossing the REDD+ </w:t>
      </w:r>
      <w:r w:rsidR="00074664" w:rsidRPr="00206DC5">
        <w:rPr>
          <w:rFonts w:asciiTheme="majorHAnsi" w:hAnsiTheme="majorHAnsi" w:cstheme="minorHAnsi"/>
          <w:color w:val="000000"/>
          <w:sz w:val="24"/>
          <w:szCs w:val="24"/>
        </w:rPr>
        <w:t xml:space="preserve">readiness finish line. </w:t>
      </w:r>
    </w:p>
    <w:p w:rsidR="006027C7" w:rsidRPr="00206DC5" w:rsidRDefault="006027C7" w:rsidP="00636EA2">
      <w:pPr>
        <w:spacing w:after="0" w:line="240" w:lineRule="auto"/>
        <w:contextualSpacing/>
        <w:jc w:val="both"/>
        <w:rPr>
          <w:rFonts w:asciiTheme="majorHAnsi" w:hAnsiTheme="majorHAnsi" w:cstheme="minorHAnsi"/>
          <w:sz w:val="24"/>
          <w:szCs w:val="24"/>
        </w:rPr>
      </w:pPr>
    </w:p>
    <w:p w:rsidR="000914BE" w:rsidRPr="00206DC5" w:rsidRDefault="000914BE" w:rsidP="00636EA2">
      <w:pPr>
        <w:spacing w:after="0" w:line="240" w:lineRule="auto"/>
        <w:contextualSpacing/>
        <w:jc w:val="both"/>
        <w:rPr>
          <w:rFonts w:asciiTheme="majorHAnsi" w:hAnsiTheme="majorHAnsi" w:cstheme="minorHAnsi"/>
          <w:sz w:val="24"/>
          <w:szCs w:val="24"/>
        </w:rPr>
      </w:pPr>
      <w:r w:rsidRPr="00206DC5">
        <w:rPr>
          <w:rFonts w:asciiTheme="majorHAnsi" w:hAnsiTheme="majorHAnsi" w:cstheme="minorHAnsi"/>
          <w:sz w:val="24"/>
          <w:szCs w:val="24"/>
        </w:rPr>
        <w:t>Addressing potential grievances and disputes will require a strategy that differentiates between the Readines</w:t>
      </w:r>
      <w:r w:rsidR="00636EA2" w:rsidRPr="00206DC5">
        <w:rPr>
          <w:rFonts w:asciiTheme="majorHAnsi" w:hAnsiTheme="majorHAnsi" w:cstheme="minorHAnsi"/>
          <w:sz w:val="24"/>
          <w:szCs w:val="24"/>
        </w:rPr>
        <w:t>s Preparation stage and Carbon F</w:t>
      </w:r>
      <w:r w:rsidRPr="00206DC5">
        <w:rPr>
          <w:rFonts w:asciiTheme="majorHAnsi" w:hAnsiTheme="majorHAnsi" w:cstheme="minorHAnsi"/>
          <w:sz w:val="24"/>
          <w:szCs w:val="24"/>
        </w:rPr>
        <w:t xml:space="preserve">und </w:t>
      </w:r>
      <w:r w:rsidR="00636EA2" w:rsidRPr="00206DC5">
        <w:rPr>
          <w:rFonts w:asciiTheme="majorHAnsi" w:hAnsiTheme="majorHAnsi" w:cstheme="minorHAnsi"/>
          <w:sz w:val="24"/>
          <w:szCs w:val="24"/>
        </w:rPr>
        <w:t>operation</w:t>
      </w:r>
      <w:r w:rsidRPr="00206DC5">
        <w:rPr>
          <w:rFonts w:asciiTheme="majorHAnsi" w:hAnsiTheme="majorHAnsi" w:cstheme="minorHAnsi"/>
          <w:sz w:val="24"/>
          <w:szCs w:val="24"/>
        </w:rPr>
        <w:t xml:space="preserve"> stage of the process. During Readiness, the complexity of issues and diversity of actors involved may lead to numerous questions, inquiries, and grievances about the REDD+ Readiness strategy and process. At this stage, lack of a coherent policy framework in place, rules for benefit sharing, clarity over resource property or tenure rights, territorial planning, and stakeholder consultation capacity of national institutions is likely to result in conflict. Prevention and resolution of this type of conflict should happen through the consultation and participation processes that are already in place.</w:t>
      </w:r>
    </w:p>
    <w:p w:rsidR="000914BE" w:rsidRPr="00206DC5" w:rsidRDefault="000914BE" w:rsidP="00636EA2">
      <w:pPr>
        <w:spacing w:after="0" w:line="240" w:lineRule="auto"/>
        <w:contextualSpacing/>
        <w:jc w:val="both"/>
        <w:rPr>
          <w:rFonts w:asciiTheme="majorHAnsi" w:hAnsiTheme="majorHAnsi" w:cstheme="minorHAnsi"/>
          <w:sz w:val="24"/>
          <w:szCs w:val="24"/>
        </w:rPr>
      </w:pPr>
    </w:p>
    <w:p w:rsidR="000914BE" w:rsidRPr="00206DC5" w:rsidRDefault="000914BE" w:rsidP="00636EA2">
      <w:pPr>
        <w:jc w:val="both"/>
        <w:rPr>
          <w:rFonts w:asciiTheme="majorHAnsi" w:eastAsia="Times New Roman" w:hAnsiTheme="majorHAnsi" w:cstheme="minorHAnsi"/>
          <w:sz w:val="24"/>
          <w:szCs w:val="24"/>
        </w:rPr>
      </w:pPr>
      <w:r w:rsidRPr="00206DC5">
        <w:rPr>
          <w:rFonts w:asciiTheme="majorHAnsi" w:hAnsiTheme="majorHAnsi" w:cstheme="minorHAnsi"/>
          <w:sz w:val="24"/>
          <w:szCs w:val="24"/>
        </w:rPr>
        <w:t>During Carbon fund implementation, grievances are likely to arise around how REDD+ policies and mechanisms are being operated on the ground (e.g. a</w:t>
      </w:r>
      <w:r w:rsidRPr="00206DC5">
        <w:rPr>
          <w:rFonts w:asciiTheme="majorHAnsi" w:eastAsia="Times New Roman" w:hAnsiTheme="majorHAnsi" w:cstheme="minorHAnsi"/>
          <w:sz w:val="24"/>
          <w:szCs w:val="24"/>
        </w:rPr>
        <w:t>re the beneficiaries receiving what the law says and through accessible mechanisms? Are some people disputing the right to bene</w:t>
      </w:r>
      <w:r w:rsidR="00FF2019" w:rsidRPr="00206DC5">
        <w:rPr>
          <w:rFonts w:asciiTheme="majorHAnsi" w:eastAsia="Times New Roman" w:hAnsiTheme="majorHAnsi" w:cstheme="minorHAnsi"/>
          <w:sz w:val="24"/>
          <w:szCs w:val="24"/>
        </w:rPr>
        <w:t>fits in a given territory?). The</w:t>
      </w:r>
      <w:r w:rsidRPr="00206DC5">
        <w:rPr>
          <w:rFonts w:asciiTheme="majorHAnsi" w:eastAsia="Times New Roman" w:hAnsiTheme="majorHAnsi" w:cstheme="minorHAnsi"/>
          <w:sz w:val="24"/>
          <w:szCs w:val="24"/>
        </w:rPr>
        <w:t>s</w:t>
      </w:r>
      <w:r w:rsidR="00FF2019" w:rsidRPr="00206DC5">
        <w:rPr>
          <w:rFonts w:asciiTheme="majorHAnsi" w:eastAsia="Times New Roman" w:hAnsiTheme="majorHAnsi" w:cstheme="minorHAnsi"/>
          <w:sz w:val="24"/>
          <w:szCs w:val="24"/>
        </w:rPr>
        <w:t>e</w:t>
      </w:r>
      <w:r w:rsidRPr="00206DC5">
        <w:rPr>
          <w:rFonts w:asciiTheme="majorHAnsi" w:eastAsia="Times New Roman" w:hAnsiTheme="majorHAnsi" w:cstheme="minorHAnsi"/>
          <w:sz w:val="24"/>
          <w:szCs w:val="24"/>
        </w:rPr>
        <w:t xml:space="preserve"> type</w:t>
      </w:r>
      <w:r w:rsidR="00FF2019" w:rsidRPr="00206DC5">
        <w:rPr>
          <w:rFonts w:asciiTheme="majorHAnsi" w:eastAsia="Times New Roman" w:hAnsiTheme="majorHAnsi" w:cstheme="minorHAnsi"/>
          <w:sz w:val="24"/>
          <w:szCs w:val="24"/>
        </w:rPr>
        <w:t>s</w:t>
      </w:r>
      <w:r w:rsidRPr="00206DC5">
        <w:rPr>
          <w:rFonts w:asciiTheme="majorHAnsi" w:eastAsia="Times New Roman" w:hAnsiTheme="majorHAnsi" w:cstheme="minorHAnsi"/>
          <w:sz w:val="24"/>
          <w:szCs w:val="24"/>
        </w:rPr>
        <w:t xml:space="preserve"> of disputes should be addressed by grievance mechanisms that will have been either designed or strengthened during the Readiness stage. </w:t>
      </w:r>
    </w:p>
    <w:p w:rsidR="006027C7" w:rsidRPr="00206DC5" w:rsidRDefault="006027C7" w:rsidP="00636EA2">
      <w:pPr>
        <w:spacing w:after="0" w:line="240" w:lineRule="auto"/>
        <w:contextualSpacing/>
        <w:jc w:val="both"/>
        <w:rPr>
          <w:rFonts w:asciiTheme="majorHAnsi" w:hAnsiTheme="majorHAnsi" w:cstheme="minorHAnsi"/>
          <w:sz w:val="24"/>
          <w:szCs w:val="24"/>
        </w:rPr>
      </w:pPr>
    </w:p>
    <w:p w:rsidR="00513F89" w:rsidRPr="0065750F" w:rsidRDefault="00E13880" w:rsidP="0065750F">
      <w:pPr>
        <w:pStyle w:val="ListParagraph"/>
        <w:keepNext/>
        <w:numPr>
          <w:ilvl w:val="0"/>
          <w:numId w:val="3"/>
        </w:numPr>
        <w:spacing w:after="0" w:line="240" w:lineRule="auto"/>
        <w:jc w:val="both"/>
        <w:rPr>
          <w:rFonts w:asciiTheme="majorHAnsi" w:hAnsiTheme="majorHAnsi" w:cstheme="minorHAnsi"/>
          <w:sz w:val="24"/>
          <w:szCs w:val="24"/>
        </w:rPr>
      </w:pPr>
      <w:r w:rsidRPr="0065750F">
        <w:rPr>
          <w:rFonts w:asciiTheme="majorHAnsi" w:hAnsiTheme="majorHAnsi" w:cstheme="minorHAnsi"/>
          <w:b/>
          <w:color w:val="000000"/>
          <w:sz w:val="24"/>
          <w:szCs w:val="24"/>
        </w:rPr>
        <w:t>Approach</w:t>
      </w:r>
      <w:r w:rsidR="00206DC5" w:rsidRPr="0065750F">
        <w:rPr>
          <w:rFonts w:asciiTheme="majorHAnsi" w:hAnsiTheme="majorHAnsi" w:cstheme="minorHAnsi"/>
          <w:b/>
          <w:color w:val="000000"/>
          <w:sz w:val="24"/>
          <w:szCs w:val="24"/>
        </w:rPr>
        <w:t xml:space="preserve"> to Grievance Redress</w:t>
      </w:r>
      <w:r w:rsidR="009D36CD">
        <w:rPr>
          <w:rFonts w:asciiTheme="majorHAnsi" w:hAnsiTheme="majorHAnsi" w:cstheme="minorHAnsi"/>
          <w:b/>
          <w:color w:val="000000"/>
          <w:sz w:val="24"/>
          <w:szCs w:val="24"/>
        </w:rPr>
        <w:t xml:space="preserve"> in the Readiness Phase</w:t>
      </w:r>
    </w:p>
    <w:p w:rsidR="00E13880" w:rsidRPr="0065750F" w:rsidRDefault="00E13880" w:rsidP="0065750F">
      <w:pPr>
        <w:keepNext/>
        <w:spacing w:after="0" w:line="240" w:lineRule="auto"/>
        <w:jc w:val="both"/>
        <w:rPr>
          <w:rFonts w:asciiTheme="majorHAnsi" w:hAnsiTheme="majorHAnsi" w:cstheme="minorHAnsi"/>
          <w:sz w:val="24"/>
          <w:szCs w:val="24"/>
        </w:rPr>
      </w:pPr>
    </w:p>
    <w:p w:rsidR="00E13880" w:rsidRPr="0065750F" w:rsidRDefault="00A1090A" w:rsidP="0065750F">
      <w:pPr>
        <w:keepNext/>
        <w:spacing w:after="0" w:line="240" w:lineRule="auto"/>
        <w:jc w:val="both"/>
        <w:rPr>
          <w:rFonts w:asciiTheme="majorHAnsi" w:hAnsiTheme="majorHAnsi" w:cstheme="minorHAnsi"/>
          <w:sz w:val="24"/>
          <w:szCs w:val="24"/>
        </w:rPr>
      </w:pPr>
      <w:r w:rsidRPr="0065750F">
        <w:rPr>
          <w:rFonts w:asciiTheme="majorHAnsi" w:hAnsiTheme="majorHAnsi" w:cstheme="minorHAnsi"/>
          <w:sz w:val="24"/>
          <w:szCs w:val="24"/>
        </w:rPr>
        <w:t>The proposed approach recommends three tasks: (</w:t>
      </w:r>
      <w:proofErr w:type="spellStart"/>
      <w:r w:rsidRPr="0065750F">
        <w:rPr>
          <w:rFonts w:asciiTheme="majorHAnsi" w:hAnsiTheme="majorHAnsi" w:cstheme="minorHAnsi"/>
          <w:sz w:val="24"/>
          <w:szCs w:val="24"/>
        </w:rPr>
        <w:t>i</w:t>
      </w:r>
      <w:proofErr w:type="spellEnd"/>
      <w:r w:rsidRPr="0065750F">
        <w:rPr>
          <w:rFonts w:asciiTheme="majorHAnsi" w:hAnsiTheme="majorHAnsi" w:cstheme="minorHAnsi"/>
          <w:sz w:val="24"/>
          <w:szCs w:val="24"/>
        </w:rPr>
        <w:t xml:space="preserve">) an assessment of potential conflicts that may arise during both the Readiness and Carbon Fund phases; (ii) </w:t>
      </w:r>
      <w:r w:rsidRPr="0065750F">
        <w:rPr>
          <w:rFonts w:asciiTheme="majorHAnsi" w:hAnsiTheme="majorHAnsi" w:cstheme="minorHAnsi"/>
          <w:sz w:val="24"/>
          <w:szCs w:val="24"/>
        </w:rPr>
        <w:lastRenderedPageBreak/>
        <w:t xml:space="preserve">identification of </w:t>
      </w:r>
      <w:r w:rsidR="008D7D7A" w:rsidRPr="0065750F">
        <w:rPr>
          <w:rFonts w:asciiTheme="majorHAnsi" w:hAnsiTheme="majorHAnsi" w:cstheme="minorHAnsi"/>
          <w:sz w:val="24"/>
          <w:szCs w:val="24"/>
        </w:rPr>
        <w:t xml:space="preserve">existing </w:t>
      </w:r>
      <w:r w:rsidRPr="0065750F">
        <w:rPr>
          <w:rFonts w:asciiTheme="majorHAnsi" w:hAnsiTheme="majorHAnsi" w:cstheme="minorHAnsi"/>
          <w:sz w:val="24"/>
          <w:szCs w:val="24"/>
        </w:rPr>
        <w:t xml:space="preserve">capacity for grievance redress; and (iii) </w:t>
      </w:r>
      <w:r w:rsidR="008D7D7A" w:rsidRPr="0065750F">
        <w:rPr>
          <w:rFonts w:asciiTheme="majorHAnsi" w:hAnsiTheme="majorHAnsi" w:cstheme="minorHAnsi"/>
          <w:sz w:val="24"/>
          <w:szCs w:val="24"/>
        </w:rPr>
        <w:t xml:space="preserve">an action plan that identifies priority areas for strengthening grievance capacity. The action plan should answer the question of how to best spend the $200,000 in dedicated FCPF funds for each country to strengthen their grievance capacity during the Readiness phase. </w:t>
      </w:r>
    </w:p>
    <w:p w:rsidR="00A1090A" w:rsidRPr="0065750F" w:rsidRDefault="00A1090A" w:rsidP="0065750F">
      <w:pPr>
        <w:keepNext/>
        <w:spacing w:after="0" w:line="240" w:lineRule="auto"/>
        <w:jc w:val="both"/>
        <w:rPr>
          <w:rFonts w:asciiTheme="majorHAnsi" w:hAnsiTheme="majorHAnsi" w:cstheme="minorHAnsi"/>
          <w:sz w:val="24"/>
          <w:szCs w:val="24"/>
        </w:rPr>
      </w:pPr>
    </w:p>
    <w:p w:rsidR="009D36CD" w:rsidRDefault="009D36CD" w:rsidP="009D36CD">
      <w:pPr>
        <w:keepNext/>
        <w:spacing w:after="0" w:line="240" w:lineRule="auto"/>
        <w:contextualSpacing/>
        <w:jc w:val="both"/>
        <w:rPr>
          <w:rFonts w:asciiTheme="majorHAnsi" w:hAnsiTheme="majorHAnsi" w:cstheme="minorHAnsi"/>
          <w:b/>
          <w:color w:val="000000"/>
          <w:sz w:val="24"/>
          <w:szCs w:val="24"/>
        </w:rPr>
      </w:pPr>
      <w:r>
        <w:rPr>
          <w:rFonts w:asciiTheme="majorHAnsi" w:hAnsiTheme="majorHAnsi" w:cstheme="minorHAnsi"/>
          <w:b/>
          <w:color w:val="000000"/>
          <w:sz w:val="24"/>
          <w:szCs w:val="24"/>
        </w:rPr>
        <w:t xml:space="preserve">Step 1: </w:t>
      </w:r>
      <w:r w:rsidR="00746BCD">
        <w:rPr>
          <w:rFonts w:asciiTheme="majorHAnsi" w:hAnsiTheme="majorHAnsi" w:cstheme="minorHAnsi"/>
          <w:b/>
          <w:color w:val="000000"/>
          <w:sz w:val="24"/>
          <w:szCs w:val="24"/>
        </w:rPr>
        <w:tab/>
      </w:r>
      <w:r>
        <w:rPr>
          <w:rFonts w:asciiTheme="majorHAnsi" w:hAnsiTheme="majorHAnsi" w:cstheme="minorHAnsi"/>
          <w:b/>
          <w:color w:val="000000"/>
          <w:sz w:val="24"/>
          <w:szCs w:val="24"/>
        </w:rPr>
        <w:t>Assessment of Risks and Potential Conflicts</w:t>
      </w:r>
    </w:p>
    <w:p w:rsidR="009D36CD" w:rsidRPr="00202839" w:rsidRDefault="009D36CD" w:rsidP="009D36CD">
      <w:pPr>
        <w:keepNext/>
        <w:spacing w:after="0" w:line="240" w:lineRule="auto"/>
        <w:contextualSpacing/>
        <w:jc w:val="both"/>
        <w:rPr>
          <w:rFonts w:asciiTheme="majorHAnsi" w:hAnsiTheme="majorHAnsi" w:cstheme="minorHAnsi"/>
          <w:sz w:val="24"/>
          <w:szCs w:val="24"/>
        </w:rPr>
      </w:pPr>
    </w:p>
    <w:p w:rsidR="009D36CD" w:rsidRPr="00202839" w:rsidRDefault="009D36CD" w:rsidP="009D36CD">
      <w:pPr>
        <w:keepNext/>
        <w:spacing w:after="0" w:line="240" w:lineRule="auto"/>
        <w:contextualSpacing/>
        <w:jc w:val="both"/>
        <w:rPr>
          <w:rFonts w:asciiTheme="majorHAnsi" w:hAnsiTheme="majorHAnsi" w:cstheme="minorHAnsi"/>
          <w:sz w:val="24"/>
          <w:szCs w:val="24"/>
        </w:rPr>
      </w:pPr>
      <w:r w:rsidRPr="00202839">
        <w:rPr>
          <w:rFonts w:asciiTheme="majorHAnsi" w:hAnsiTheme="majorHAnsi" w:cstheme="minorHAnsi"/>
          <w:color w:val="000000"/>
          <w:sz w:val="24"/>
          <w:szCs w:val="24"/>
        </w:rPr>
        <w:t xml:space="preserve">A rapid review of contentious issues, stakeholders, and institutional capacity will be conducted, strongly relying on the information already produced by the countries and the </w:t>
      </w:r>
      <w:r>
        <w:rPr>
          <w:rFonts w:asciiTheme="majorHAnsi" w:hAnsiTheme="majorHAnsi" w:cstheme="minorHAnsi"/>
          <w:color w:val="000000"/>
          <w:sz w:val="24"/>
          <w:szCs w:val="24"/>
        </w:rPr>
        <w:t xml:space="preserve">delivery partners (World Bank, UN, </w:t>
      </w:r>
      <w:proofErr w:type="gramStart"/>
      <w:r>
        <w:rPr>
          <w:rFonts w:asciiTheme="majorHAnsi" w:hAnsiTheme="majorHAnsi" w:cstheme="minorHAnsi"/>
          <w:color w:val="000000"/>
          <w:sz w:val="24"/>
          <w:szCs w:val="24"/>
        </w:rPr>
        <w:t>IDB</w:t>
      </w:r>
      <w:proofErr w:type="gramEnd"/>
      <w:r>
        <w:rPr>
          <w:rFonts w:asciiTheme="majorHAnsi" w:hAnsiTheme="majorHAnsi" w:cstheme="minorHAnsi"/>
          <w:color w:val="000000"/>
          <w:sz w:val="24"/>
          <w:szCs w:val="24"/>
        </w:rPr>
        <w:t>)</w:t>
      </w:r>
      <w:r w:rsidRPr="00202839">
        <w:rPr>
          <w:rFonts w:asciiTheme="majorHAnsi" w:hAnsiTheme="majorHAnsi" w:cstheme="minorHAnsi"/>
          <w:color w:val="000000"/>
          <w:sz w:val="24"/>
          <w:szCs w:val="24"/>
        </w:rPr>
        <w:t>. Gaps will be filled with in-country interviews.  The SESA should provide the basis for much of this work.</w:t>
      </w:r>
    </w:p>
    <w:p w:rsidR="009D36CD" w:rsidRPr="00202839" w:rsidRDefault="009D36CD" w:rsidP="009D36CD">
      <w:pPr>
        <w:spacing w:after="0" w:line="240" w:lineRule="auto"/>
        <w:contextualSpacing/>
        <w:jc w:val="both"/>
        <w:rPr>
          <w:rFonts w:asciiTheme="majorHAnsi" w:hAnsiTheme="majorHAnsi" w:cstheme="minorHAnsi"/>
          <w:sz w:val="24"/>
          <w:szCs w:val="24"/>
        </w:rPr>
      </w:pPr>
    </w:p>
    <w:p w:rsidR="009D36CD" w:rsidRPr="00202839" w:rsidRDefault="009D36CD" w:rsidP="009D36CD">
      <w:pPr>
        <w:spacing w:after="0" w:line="240" w:lineRule="auto"/>
        <w:contextualSpacing/>
        <w:jc w:val="both"/>
        <w:rPr>
          <w:rFonts w:asciiTheme="majorHAnsi" w:hAnsiTheme="majorHAnsi" w:cstheme="minorHAnsi"/>
          <w:sz w:val="24"/>
          <w:szCs w:val="24"/>
        </w:rPr>
      </w:pPr>
      <w:r w:rsidRPr="00202839">
        <w:rPr>
          <w:rFonts w:asciiTheme="majorHAnsi" w:hAnsiTheme="majorHAnsi" w:cstheme="minorHAnsi"/>
          <w:color w:val="000000"/>
          <w:sz w:val="24"/>
          <w:szCs w:val="24"/>
        </w:rPr>
        <w:t xml:space="preserve">The work will start by understanding the </w:t>
      </w:r>
      <w:r w:rsidRPr="00202839">
        <w:rPr>
          <w:rFonts w:asciiTheme="majorHAnsi" w:hAnsiTheme="majorHAnsi" w:cstheme="minorHAnsi"/>
          <w:b/>
          <w:i/>
          <w:color w:val="000000"/>
          <w:sz w:val="24"/>
          <w:szCs w:val="24"/>
        </w:rPr>
        <w:t>issues</w:t>
      </w:r>
      <w:r w:rsidRPr="00202839">
        <w:rPr>
          <w:rFonts w:asciiTheme="majorHAnsi" w:hAnsiTheme="majorHAnsi" w:cstheme="minorHAnsi"/>
          <w:color w:val="000000"/>
          <w:sz w:val="24"/>
          <w:szCs w:val="24"/>
        </w:rPr>
        <w:t xml:space="preserve"> that are -or are likely to be- at the heart of disputes related to REDD+, such as clarity over resource property or tenure rights, benefit distribution, cross-sectorial competing interests, decision-making processes, and opposing views over market-based solutions to environmental problems.</w:t>
      </w:r>
    </w:p>
    <w:p w:rsidR="009D36CD" w:rsidRPr="00202839" w:rsidRDefault="009D36CD" w:rsidP="009D36CD">
      <w:pPr>
        <w:spacing w:after="0" w:line="240" w:lineRule="auto"/>
        <w:contextualSpacing/>
        <w:jc w:val="both"/>
        <w:rPr>
          <w:rFonts w:asciiTheme="majorHAnsi" w:hAnsiTheme="majorHAnsi" w:cstheme="minorHAnsi"/>
          <w:color w:val="000000"/>
          <w:sz w:val="24"/>
          <w:szCs w:val="24"/>
        </w:rPr>
      </w:pPr>
    </w:p>
    <w:p w:rsidR="009D36CD" w:rsidRPr="00202839" w:rsidRDefault="009D36CD" w:rsidP="009D36CD">
      <w:pPr>
        <w:spacing w:after="0" w:line="240" w:lineRule="auto"/>
        <w:contextualSpacing/>
        <w:jc w:val="both"/>
        <w:rPr>
          <w:rFonts w:asciiTheme="majorHAnsi" w:hAnsiTheme="majorHAnsi" w:cstheme="minorHAnsi"/>
          <w:sz w:val="24"/>
          <w:szCs w:val="24"/>
        </w:rPr>
      </w:pPr>
      <w:r w:rsidRPr="00202839">
        <w:rPr>
          <w:rFonts w:asciiTheme="majorHAnsi" w:hAnsiTheme="majorHAnsi" w:cstheme="minorHAnsi"/>
          <w:color w:val="000000"/>
          <w:sz w:val="24"/>
          <w:szCs w:val="24"/>
        </w:rPr>
        <w:t xml:space="preserve">The review will map who the key </w:t>
      </w:r>
      <w:r w:rsidRPr="00202839">
        <w:rPr>
          <w:rFonts w:asciiTheme="majorHAnsi" w:hAnsiTheme="majorHAnsi" w:cstheme="minorHAnsi"/>
          <w:b/>
          <w:i/>
          <w:color w:val="000000"/>
          <w:sz w:val="24"/>
          <w:szCs w:val="24"/>
        </w:rPr>
        <w:t>stakeholders</w:t>
      </w:r>
      <w:r w:rsidRPr="00202839">
        <w:rPr>
          <w:rFonts w:asciiTheme="majorHAnsi" w:hAnsiTheme="majorHAnsi" w:cstheme="minorHAnsi"/>
          <w:color w:val="000000"/>
          <w:sz w:val="24"/>
          <w:szCs w:val="24"/>
        </w:rPr>
        <w:t xml:space="preserve"> to these issues are, what the nature of the debate on REDD+ is (informed, </w:t>
      </w:r>
      <w:proofErr w:type="spellStart"/>
      <w:r w:rsidRPr="00202839">
        <w:rPr>
          <w:rFonts w:asciiTheme="majorHAnsi" w:hAnsiTheme="majorHAnsi" w:cstheme="minorHAnsi"/>
          <w:color w:val="000000"/>
          <w:sz w:val="24"/>
          <w:szCs w:val="24"/>
        </w:rPr>
        <w:t>polarised</w:t>
      </w:r>
      <w:proofErr w:type="spellEnd"/>
      <w:r w:rsidRPr="00202839">
        <w:rPr>
          <w:rFonts w:asciiTheme="majorHAnsi" w:hAnsiTheme="majorHAnsi" w:cstheme="minorHAnsi"/>
          <w:color w:val="000000"/>
          <w:sz w:val="24"/>
          <w:szCs w:val="24"/>
        </w:rPr>
        <w:t xml:space="preserve">, </w:t>
      </w:r>
      <w:proofErr w:type="spellStart"/>
      <w:r w:rsidRPr="00202839">
        <w:rPr>
          <w:rFonts w:asciiTheme="majorHAnsi" w:hAnsiTheme="majorHAnsi" w:cstheme="minorHAnsi"/>
          <w:color w:val="000000"/>
          <w:sz w:val="24"/>
          <w:szCs w:val="24"/>
        </w:rPr>
        <w:t>etc</w:t>
      </w:r>
      <w:proofErr w:type="spellEnd"/>
      <w:r w:rsidRPr="00202839">
        <w:rPr>
          <w:rFonts w:asciiTheme="majorHAnsi" w:hAnsiTheme="majorHAnsi" w:cstheme="minorHAnsi"/>
          <w:color w:val="000000"/>
          <w:sz w:val="24"/>
          <w:szCs w:val="24"/>
        </w:rPr>
        <w:t xml:space="preserve">). Attention will be paid to the local dispute resolution culture and, particularly, to the capacity and track-record of stakeholders to settle disputes through constructive negotiation. </w:t>
      </w:r>
    </w:p>
    <w:p w:rsidR="009D36CD" w:rsidRPr="00202839" w:rsidRDefault="009D36CD" w:rsidP="009D36CD">
      <w:pPr>
        <w:spacing w:after="0" w:line="240" w:lineRule="auto"/>
        <w:contextualSpacing/>
        <w:jc w:val="both"/>
        <w:rPr>
          <w:rFonts w:asciiTheme="majorHAnsi" w:hAnsiTheme="majorHAnsi" w:cstheme="minorHAnsi"/>
          <w:color w:val="000000"/>
          <w:sz w:val="24"/>
          <w:szCs w:val="24"/>
        </w:rPr>
      </w:pPr>
    </w:p>
    <w:p w:rsidR="009D36CD" w:rsidRPr="0065750F" w:rsidRDefault="009D36CD" w:rsidP="009D36CD">
      <w:pPr>
        <w:spacing w:after="0" w:line="240" w:lineRule="auto"/>
        <w:contextualSpacing/>
        <w:jc w:val="both"/>
        <w:rPr>
          <w:rFonts w:asciiTheme="majorHAnsi" w:hAnsiTheme="majorHAnsi" w:cstheme="minorHAnsi"/>
          <w:b/>
          <w:color w:val="000000"/>
          <w:sz w:val="24"/>
          <w:szCs w:val="24"/>
        </w:rPr>
      </w:pPr>
      <w:r w:rsidRPr="0065750F">
        <w:rPr>
          <w:rFonts w:asciiTheme="majorHAnsi" w:hAnsiTheme="majorHAnsi" w:cstheme="minorHAnsi"/>
          <w:b/>
          <w:color w:val="000000"/>
          <w:sz w:val="24"/>
          <w:szCs w:val="24"/>
        </w:rPr>
        <w:t xml:space="preserve">Step 2: </w:t>
      </w:r>
      <w:r w:rsidR="00746BCD">
        <w:rPr>
          <w:rFonts w:asciiTheme="majorHAnsi" w:hAnsiTheme="majorHAnsi" w:cstheme="minorHAnsi"/>
          <w:b/>
          <w:color w:val="000000"/>
          <w:sz w:val="24"/>
          <w:szCs w:val="24"/>
        </w:rPr>
        <w:tab/>
      </w:r>
      <w:r w:rsidRPr="0065750F">
        <w:rPr>
          <w:rFonts w:asciiTheme="majorHAnsi" w:hAnsiTheme="majorHAnsi" w:cstheme="minorHAnsi"/>
          <w:b/>
          <w:color w:val="000000"/>
          <w:sz w:val="24"/>
          <w:szCs w:val="24"/>
        </w:rPr>
        <w:t>Capacity Assessment</w:t>
      </w:r>
    </w:p>
    <w:p w:rsidR="009D36CD" w:rsidRDefault="009D36CD" w:rsidP="009D36CD">
      <w:pPr>
        <w:spacing w:after="0" w:line="240" w:lineRule="auto"/>
        <w:contextualSpacing/>
        <w:jc w:val="both"/>
        <w:rPr>
          <w:rFonts w:asciiTheme="majorHAnsi" w:hAnsiTheme="majorHAnsi" w:cstheme="minorHAnsi"/>
          <w:color w:val="000000"/>
          <w:sz w:val="24"/>
          <w:szCs w:val="24"/>
        </w:rPr>
      </w:pPr>
    </w:p>
    <w:p w:rsidR="009D36CD" w:rsidRDefault="009D36CD" w:rsidP="009D36CD">
      <w:pPr>
        <w:spacing w:after="0" w:line="240" w:lineRule="auto"/>
        <w:contextualSpacing/>
        <w:jc w:val="both"/>
        <w:rPr>
          <w:rFonts w:asciiTheme="majorHAnsi" w:hAnsiTheme="majorHAnsi" w:cstheme="minorHAnsi"/>
          <w:color w:val="000000"/>
          <w:sz w:val="24"/>
          <w:szCs w:val="24"/>
        </w:rPr>
      </w:pPr>
      <w:r w:rsidRPr="00202839">
        <w:rPr>
          <w:rFonts w:asciiTheme="majorHAnsi" w:hAnsiTheme="majorHAnsi" w:cstheme="minorHAnsi"/>
          <w:color w:val="000000"/>
          <w:sz w:val="24"/>
          <w:szCs w:val="24"/>
        </w:rPr>
        <w:t xml:space="preserve">The review will also cover the availability, credibility and capabilities of </w:t>
      </w:r>
      <w:r w:rsidRPr="0065750F">
        <w:rPr>
          <w:rFonts w:asciiTheme="majorHAnsi" w:hAnsiTheme="majorHAnsi" w:cstheme="minorHAnsi"/>
          <w:b/>
          <w:i/>
          <w:color w:val="000000"/>
          <w:sz w:val="24"/>
          <w:szCs w:val="24"/>
        </w:rPr>
        <w:t>local and</w:t>
      </w:r>
      <w:r>
        <w:rPr>
          <w:rFonts w:asciiTheme="majorHAnsi" w:hAnsiTheme="majorHAnsi" w:cstheme="minorHAnsi"/>
          <w:b/>
          <w:i/>
          <w:color w:val="000000"/>
          <w:sz w:val="24"/>
          <w:szCs w:val="24"/>
        </w:rPr>
        <w:t xml:space="preserve"> </w:t>
      </w:r>
      <w:r w:rsidRPr="00202839">
        <w:rPr>
          <w:rFonts w:asciiTheme="majorHAnsi" w:hAnsiTheme="majorHAnsi" w:cstheme="minorHAnsi"/>
          <w:b/>
          <w:i/>
          <w:color w:val="000000"/>
          <w:sz w:val="24"/>
          <w:szCs w:val="24"/>
        </w:rPr>
        <w:t>national institutions</w:t>
      </w:r>
      <w:r w:rsidRPr="00202839">
        <w:rPr>
          <w:rFonts w:asciiTheme="majorHAnsi" w:hAnsiTheme="majorHAnsi" w:cstheme="minorHAnsi"/>
          <w:color w:val="000000"/>
          <w:sz w:val="24"/>
          <w:szCs w:val="24"/>
        </w:rPr>
        <w:t xml:space="preserve"> to address the issues that are at the heart of REDD+-related disputes. For each of the institutions that are expected to deal with these issues, there will be a credibility assessment, based on the following criteria</w:t>
      </w:r>
      <w:r w:rsidRPr="00202839">
        <w:rPr>
          <w:rStyle w:val="FootnoteReference"/>
          <w:rFonts w:asciiTheme="majorHAnsi" w:hAnsiTheme="majorHAnsi" w:cstheme="minorHAnsi"/>
          <w:color w:val="000000"/>
          <w:sz w:val="24"/>
          <w:szCs w:val="24"/>
        </w:rPr>
        <w:footnoteReference w:id="1"/>
      </w:r>
      <w:r w:rsidRPr="00202839">
        <w:rPr>
          <w:rFonts w:asciiTheme="majorHAnsi" w:hAnsiTheme="majorHAnsi" w:cstheme="minorHAnsi"/>
          <w:color w:val="000000"/>
          <w:sz w:val="24"/>
          <w:szCs w:val="24"/>
        </w:rPr>
        <w:t>:</w:t>
      </w:r>
    </w:p>
    <w:p w:rsidR="00967A2A" w:rsidRPr="00202839" w:rsidRDefault="00967A2A" w:rsidP="009D36CD">
      <w:pPr>
        <w:spacing w:after="0" w:line="240" w:lineRule="auto"/>
        <w:contextualSpacing/>
        <w:jc w:val="both"/>
        <w:rPr>
          <w:rFonts w:asciiTheme="majorHAnsi" w:hAnsiTheme="majorHAnsi" w:cstheme="minorHAnsi"/>
          <w:color w:val="000000"/>
          <w:sz w:val="24"/>
          <w:szCs w:val="24"/>
        </w:rPr>
      </w:pPr>
    </w:p>
    <w:p w:rsidR="009D36CD" w:rsidRPr="00202839" w:rsidRDefault="009D36CD" w:rsidP="009D36CD">
      <w:pPr>
        <w:pStyle w:val="ListParagraph"/>
        <w:numPr>
          <w:ilvl w:val="0"/>
          <w:numId w:val="14"/>
        </w:numPr>
        <w:spacing w:after="0" w:line="240" w:lineRule="auto"/>
        <w:jc w:val="both"/>
        <w:rPr>
          <w:rFonts w:asciiTheme="majorHAnsi" w:hAnsiTheme="majorHAnsi" w:cstheme="minorHAnsi"/>
          <w:sz w:val="24"/>
          <w:szCs w:val="24"/>
        </w:rPr>
      </w:pPr>
      <w:r w:rsidRPr="0065750F">
        <w:rPr>
          <w:rFonts w:asciiTheme="majorHAnsi" w:hAnsiTheme="majorHAnsi" w:cstheme="minorHAnsi"/>
          <w:color w:val="000000"/>
          <w:sz w:val="24"/>
          <w:szCs w:val="24"/>
          <w:u w:val="single"/>
        </w:rPr>
        <w:t>Legitimacy:</w:t>
      </w:r>
      <w:r w:rsidRPr="00202839">
        <w:rPr>
          <w:rFonts w:asciiTheme="majorHAnsi" w:hAnsiTheme="majorHAnsi" w:cstheme="minorHAnsi"/>
          <w:color w:val="000000"/>
          <w:sz w:val="24"/>
          <w:szCs w:val="24"/>
        </w:rPr>
        <w:t xml:space="preserve"> is its governance structure widely perceived as sufficiently independent from the parties to a particular grievance? </w:t>
      </w:r>
    </w:p>
    <w:p w:rsidR="009D36CD" w:rsidRPr="00202839" w:rsidRDefault="009D36CD" w:rsidP="009D36CD">
      <w:pPr>
        <w:pStyle w:val="ListParagraph"/>
        <w:numPr>
          <w:ilvl w:val="0"/>
          <w:numId w:val="14"/>
        </w:numPr>
        <w:spacing w:after="0" w:line="240" w:lineRule="auto"/>
        <w:jc w:val="both"/>
        <w:rPr>
          <w:rFonts w:asciiTheme="majorHAnsi" w:hAnsiTheme="majorHAnsi" w:cstheme="minorHAnsi"/>
          <w:sz w:val="24"/>
          <w:szCs w:val="24"/>
        </w:rPr>
      </w:pPr>
      <w:r w:rsidRPr="0065750F">
        <w:rPr>
          <w:rFonts w:asciiTheme="majorHAnsi" w:hAnsiTheme="majorHAnsi" w:cstheme="minorHAnsi"/>
          <w:color w:val="000000"/>
          <w:sz w:val="24"/>
          <w:szCs w:val="24"/>
          <w:u w:val="single"/>
        </w:rPr>
        <w:t>Accessibility:</w:t>
      </w:r>
      <w:r w:rsidRPr="00202839">
        <w:rPr>
          <w:rFonts w:asciiTheme="majorHAnsi" w:hAnsiTheme="majorHAnsi" w:cstheme="minorHAnsi"/>
          <w:color w:val="000000"/>
          <w:sz w:val="24"/>
          <w:szCs w:val="24"/>
        </w:rPr>
        <w:t xml:space="preserve"> does it provide sufficient assistance to those who face barriers such as language, literacy, awareness, cost, or fear of reprisal? </w:t>
      </w:r>
    </w:p>
    <w:p w:rsidR="009D36CD" w:rsidRPr="00202839" w:rsidRDefault="009D36CD" w:rsidP="009D36CD">
      <w:pPr>
        <w:pStyle w:val="ListParagraph"/>
        <w:numPr>
          <w:ilvl w:val="0"/>
          <w:numId w:val="14"/>
        </w:numPr>
        <w:spacing w:after="0" w:line="240" w:lineRule="auto"/>
        <w:jc w:val="both"/>
        <w:rPr>
          <w:rFonts w:asciiTheme="majorHAnsi" w:hAnsiTheme="majorHAnsi" w:cstheme="minorHAnsi"/>
          <w:sz w:val="24"/>
          <w:szCs w:val="24"/>
        </w:rPr>
      </w:pPr>
      <w:r w:rsidRPr="0065750F">
        <w:rPr>
          <w:rFonts w:asciiTheme="majorHAnsi" w:hAnsiTheme="majorHAnsi" w:cstheme="minorHAnsi"/>
          <w:color w:val="000000"/>
          <w:sz w:val="24"/>
          <w:szCs w:val="24"/>
          <w:u w:val="single"/>
        </w:rPr>
        <w:t>Predictability:</w:t>
      </w:r>
      <w:r w:rsidRPr="00202839">
        <w:rPr>
          <w:rFonts w:asciiTheme="majorHAnsi" w:hAnsiTheme="majorHAnsi" w:cstheme="minorHAnsi"/>
          <w:color w:val="000000"/>
          <w:sz w:val="24"/>
          <w:szCs w:val="24"/>
        </w:rPr>
        <w:t xml:space="preserve"> does it offer a clear procedure with time frames for each stage and clarity on the types of results it can (and cannot) deliver?</w:t>
      </w:r>
    </w:p>
    <w:p w:rsidR="009D36CD" w:rsidRPr="00202839" w:rsidRDefault="009D36CD" w:rsidP="009D36CD">
      <w:pPr>
        <w:pStyle w:val="ListParagraph"/>
        <w:numPr>
          <w:ilvl w:val="0"/>
          <w:numId w:val="14"/>
        </w:numPr>
        <w:spacing w:after="0" w:line="240" w:lineRule="auto"/>
        <w:jc w:val="both"/>
        <w:rPr>
          <w:rFonts w:asciiTheme="majorHAnsi" w:hAnsiTheme="majorHAnsi" w:cstheme="minorHAnsi"/>
          <w:sz w:val="24"/>
          <w:szCs w:val="24"/>
        </w:rPr>
      </w:pPr>
      <w:r w:rsidRPr="0065750F">
        <w:rPr>
          <w:rFonts w:asciiTheme="majorHAnsi" w:hAnsiTheme="majorHAnsi" w:cstheme="minorHAnsi"/>
          <w:color w:val="000000"/>
          <w:sz w:val="24"/>
          <w:szCs w:val="24"/>
          <w:u w:val="single"/>
        </w:rPr>
        <w:t>Fairness:</w:t>
      </w:r>
      <w:r w:rsidRPr="00202839">
        <w:rPr>
          <w:rFonts w:asciiTheme="majorHAnsi" w:hAnsiTheme="majorHAnsi" w:cstheme="minorHAnsi"/>
          <w:color w:val="000000"/>
          <w:sz w:val="24"/>
          <w:szCs w:val="24"/>
        </w:rPr>
        <w:t xml:space="preserve"> are its procedures widely perceived as fair, especially in terms of access to information and opportunities for meaningful participation in the final decision?</w:t>
      </w:r>
    </w:p>
    <w:p w:rsidR="009D36CD" w:rsidRPr="00202839" w:rsidRDefault="009D36CD" w:rsidP="009D36CD">
      <w:pPr>
        <w:pStyle w:val="ListParagraph"/>
        <w:numPr>
          <w:ilvl w:val="0"/>
          <w:numId w:val="14"/>
        </w:numPr>
        <w:spacing w:after="0" w:line="240" w:lineRule="auto"/>
        <w:jc w:val="both"/>
        <w:rPr>
          <w:rFonts w:asciiTheme="majorHAnsi" w:hAnsiTheme="majorHAnsi" w:cstheme="minorHAnsi"/>
          <w:sz w:val="24"/>
          <w:szCs w:val="24"/>
        </w:rPr>
      </w:pPr>
      <w:r w:rsidRPr="0065750F">
        <w:rPr>
          <w:rFonts w:asciiTheme="majorHAnsi" w:hAnsiTheme="majorHAnsi" w:cstheme="minorHAnsi"/>
          <w:sz w:val="24"/>
          <w:szCs w:val="24"/>
          <w:u w:val="single"/>
        </w:rPr>
        <w:t>Rights compatibility:</w:t>
      </w:r>
      <w:r w:rsidRPr="00202839">
        <w:rPr>
          <w:rFonts w:asciiTheme="majorHAnsi" w:hAnsiTheme="majorHAnsi" w:cstheme="minorHAnsi"/>
          <w:sz w:val="24"/>
          <w:szCs w:val="24"/>
        </w:rPr>
        <w:t xml:space="preserve"> are its outcomes consistent with applicable national and international standards? Does it restrict access to other redress mechanisms?</w:t>
      </w:r>
    </w:p>
    <w:p w:rsidR="009D36CD" w:rsidRPr="00202839" w:rsidRDefault="009D36CD" w:rsidP="009D36CD">
      <w:pPr>
        <w:pStyle w:val="ListParagraph"/>
        <w:numPr>
          <w:ilvl w:val="0"/>
          <w:numId w:val="14"/>
        </w:numPr>
        <w:spacing w:after="0" w:line="240" w:lineRule="auto"/>
        <w:jc w:val="both"/>
        <w:rPr>
          <w:rFonts w:asciiTheme="majorHAnsi" w:hAnsiTheme="majorHAnsi" w:cstheme="minorHAnsi"/>
          <w:sz w:val="24"/>
          <w:szCs w:val="24"/>
        </w:rPr>
      </w:pPr>
      <w:r w:rsidRPr="0065750F">
        <w:rPr>
          <w:rFonts w:asciiTheme="majorHAnsi" w:hAnsiTheme="majorHAnsi" w:cstheme="minorHAnsi"/>
          <w:sz w:val="24"/>
          <w:szCs w:val="24"/>
          <w:u w:val="single"/>
        </w:rPr>
        <w:t>Transparency</w:t>
      </w:r>
      <w:r w:rsidRPr="00202839">
        <w:rPr>
          <w:rFonts w:asciiTheme="majorHAnsi" w:hAnsiTheme="majorHAnsi" w:cstheme="minorHAnsi"/>
          <w:sz w:val="24"/>
          <w:szCs w:val="24"/>
        </w:rPr>
        <w:t>: are its procedures and outcomes transparent enough to meet the public interest concerns at stake?</w:t>
      </w:r>
    </w:p>
    <w:p w:rsidR="009D36CD" w:rsidRPr="00202839" w:rsidRDefault="009D36CD" w:rsidP="009D36CD">
      <w:pPr>
        <w:pStyle w:val="ListParagraph"/>
        <w:numPr>
          <w:ilvl w:val="0"/>
          <w:numId w:val="14"/>
        </w:numPr>
        <w:spacing w:after="0" w:line="240" w:lineRule="auto"/>
        <w:jc w:val="both"/>
        <w:rPr>
          <w:rFonts w:asciiTheme="majorHAnsi" w:hAnsiTheme="majorHAnsi" w:cstheme="minorHAnsi"/>
          <w:sz w:val="24"/>
          <w:szCs w:val="24"/>
        </w:rPr>
      </w:pPr>
      <w:r w:rsidRPr="0065750F">
        <w:rPr>
          <w:rFonts w:asciiTheme="majorHAnsi" w:hAnsiTheme="majorHAnsi" w:cstheme="minorHAnsi"/>
          <w:sz w:val="24"/>
          <w:szCs w:val="24"/>
          <w:u w:val="single"/>
        </w:rPr>
        <w:t>Capability:</w:t>
      </w:r>
      <w:r w:rsidRPr="00202839">
        <w:rPr>
          <w:rFonts w:asciiTheme="majorHAnsi" w:hAnsiTheme="majorHAnsi" w:cstheme="minorHAnsi"/>
          <w:sz w:val="24"/>
          <w:szCs w:val="24"/>
        </w:rPr>
        <w:t xml:space="preserve"> does it have the necessary technical, human and financial resources to deal with the issues at stake?</w:t>
      </w:r>
      <w:r w:rsidRPr="00202839">
        <w:rPr>
          <w:rFonts w:asciiTheme="majorHAnsi" w:hAnsiTheme="majorHAnsi" w:cstheme="minorHAnsi"/>
          <w:color w:val="000000"/>
          <w:sz w:val="24"/>
          <w:szCs w:val="24"/>
        </w:rPr>
        <w:t xml:space="preserve"> </w:t>
      </w:r>
    </w:p>
    <w:p w:rsidR="009D36CD" w:rsidRPr="00202839" w:rsidRDefault="009D36CD" w:rsidP="009D36CD">
      <w:pPr>
        <w:spacing w:after="0" w:line="240" w:lineRule="auto"/>
        <w:ind w:left="360"/>
        <w:jc w:val="both"/>
        <w:rPr>
          <w:rFonts w:asciiTheme="majorHAnsi" w:hAnsiTheme="majorHAnsi" w:cstheme="minorHAnsi"/>
          <w:sz w:val="24"/>
          <w:szCs w:val="24"/>
        </w:rPr>
      </w:pPr>
    </w:p>
    <w:p w:rsidR="009D36CD" w:rsidRPr="00202839" w:rsidRDefault="009D36CD" w:rsidP="009D36CD">
      <w:pPr>
        <w:spacing w:after="0" w:line="240" w:lineRule="auto"/>
        <w:jc w:val="both"/>
        <w:rPr>
          <w:rFonts w:asciiTheme="majorHAnsi" w:hAnsiTheme="majorHAnsi" w:cstheme="minorHAnsi"/>
          <w:color w:val="000000"/>
          <w:sz w:val="24"/>
          <w:szCs w:val="24"/>
        </w:rPr>
      </w:pPr>
      <w:proofErr w:type="spellStart"/>
      <w:r w:rsidRPr="00202839">
        <w:rPr>
          <w:rFonts w:asciiTheme="majorHAnsi" w:hAnsiTheme="majorHAnsi" w:cstheme="minorHAnsi"/>
          <w:color w:val="000000"/>
          <w:sz w:val="24"/>
          <w:szCs w:val="24"/>
        </w:rPr>
        <w:lastRenderedPageBreak/>
        <w:t>Categorising</w:t>
      </w:r>
      <w:proofErr w:type="spellEnd"/>
      <w:r w:rsidRPr="00202839">
        <w:rPr>
          <w:rFonts w:asciiTheme="majorHAnsi" w:hAnsiTheme="majorHAnsi" w:cstheme="minorHAnsi"/>
          <w:color w:val="000000"/>
          <w:sz w:val="24"/>
          <w:szCs w:val="24"/>
        </w:rPr>
        <w:t xml:space="preserve"> both risks of conflict associated with key REDD+ issues and institutional capacity to address those conflicts is central to this approach.  Where capacity and credibility of national institutions are low and the stakes are high, the risk of grievances going unaddressed will be significant. The risk analysis table is a helpful guide:</w:t>
      </w:r>
    </w:p>
    <w:p w:rsidR="009D36CD" w:rsidRPr="00202839" w:rsidRDefault="009D36CD" w:rsidP="009D36CD">
      <w:pPr>
        <w:spacing w:after="0" w:line="240" w:lineRule="auto"/>
        <w:jc w:val="both"/>
        <w:rPr>
          <w:rFonts w:asciiTheme="majorHAnsi" w:hAnsiTheme="majorHAnsi" w:cstheme="minorHAnsi"/>
          <w:color w:val="000000"/>
          <w:sz w:val="24"/>
          <w:szCs w:val="24"/>
        </w:rPr>
      </w:pPr>
    </w:p>
    <w:tbl>
      <w:tblPr>
        <w:tblStyle w:val="TableGrid"/>
        <w:tblW w:w="0" w:type="auto"/>
        <w:tblLook w:val="04A0" w:firstRow="1" w:lastRow="0" w:firstColumn="1" w:lastColumn="0" w:noHBand="0" w:noVBand="1"/>
      </w:tblPr>
      <w:tblGrid>
        <w:gridCol w:w="703"/>
        <w:gridCol w:w="2232"/>
        <w:gridCol w:w="1931"/>
        <w:gridCol w:w="1219"/>
        <w:gridCol w:w="1550"/>
        <w:gridCol w:w="1607"/>
      </w:tblGrid>
      <w:tr w:rsidR="009D36CD" w:rsidRPr="00202839" w:rsidTr="00967A2A">
        <w:tc>
          <w:tcPr>
            <w:tcW w:w="2935" w:type="dxa"/>
            <w:gridSpan w:val="2"/>
          </w:tcPr>
          <w:p w:rsidR="009D36CD" w:rsidRPr="00202839" w:rsidRDefault="009D36CD" w:rsidP="00967A2A">
            <w:pPr>
              <w:jc w:val="center"/>
              <w:rPr>
                <w:rFonts w:asciiTheme="majorHAnsi" w:hAnsiTheme="majorHAnsi" w:cstheme="minorHAnsi"/>
                <w:color w:val="000000"/>
                <w:sz w:val="24"/>
                <w:szCs w:val="24"/>
              </w:rPr>
            </w:pPr>
          </w:p>
        </w:tc>
        <w:tc>
          <w:tcPr>
            <w:tcW w:w="6307" w:type="dxa"/>
            <w:gridSpan w:val="4"/>
          </w:tcPr>
          <w:p w:rsidR="009D36CD" w:rsidRPr="0065750F" w:rsidRDefault="009D36CD" w:rsidP="00967A2A">
            <w:pPr>
              <w:jc w:val="center"/>
              <w:rPr>
                <w:rFonts w:asciiTheme="majorHAnsi" w:hAnsiTheme="majorHAnsi" w:cstheme="minorHAnsi"/>
                <w:b/>
                <w:color w:val="000000"/>
                <w:sz w:val="24"/>
                <w:szCs w:val="24"/>
              </w:rPr>
            </w:pPr>
            <w:r w:rsidRPr="0065750F">
              <w:rPr>
                <w:rFonts w:asciiTheme="majorHAnsi" w:hAnsiTheme="majorHAnsi" w:cstheme="minorHAnsi"/>
                <w:b/>
                <w:color w:val="000000"/>
                <w:sz w:val="24"/>
                <w:szCs w:val="24"/>
              </w:rPr>
              <w:t>Institution</w:t>
            </w:r>
            <w:r w:rsidR="00967A2A">
              <w:rPr>
                <w:rFonts w:asciiTheme="majorHAnsi" w:hAnsiTheme="majorHAnsi" w:cstheme="minorHAnsi"/>
                <w:b/>
                <w:color w:val="000000"/>
                <w:sz w:val="24"/>
                <w:szCs w:val="24"/>
              </w:rPr>
              <w:t>al Capacity</w:t>
            </w:r>
          </w:p>
        </w:tc>
      </w:tr>
      <w:tr w:rsidR="009D36CD" w:rsidRPr="00202839" w:rsidTr="00967A2A">
        <w:tc>
          <w:tcPr>
            <w:tcW w:w="2935" w:type="dxa"/>
            <w:gridSpan w:val="2"/>
            <w:textDirection w:val="btLr"/>
          </w:tcPr>
          <w:p w:rsidR="009D36CD" w:rsidRPr="00202839" w:rsidRDefault="009D36CD" w:rsidP="00967A2A">
            <w:pPr>
              <w:jc w:val="both"/>
              <w:rPr>
                <w:rFonts w:asciiTheme="majorHAnsi" w:hAnsiTheme="majorHAnsi" w:cstheme="minorHAnsi"/>
                <w:color w:val="000000"/>
                <w:sz w:val="24"/>
                <w:szCs w:val="24"/>
              </w:rPr>
            </w:pPr>
          </w:p>
        </w:tc>
        <w:tc>
          <w:tcPr>
            <w:tcW w:w="1931" w:type="dxa"/>
          </w:tcPr>
          <w:p w:rsidR="009D36CD" w:rsidRPr="00202839" w:rsidRDefault="009D36CD" w:rsidP="00967A2A">
            <w:pPr>
              <w:jc w:val="center"/>
              <w:rPr>
                <w:rFonts w:asciiTheme="majorHAnsi" w:hAnsiTheme="majorHAnsi" w:cstheme="minorHAnsi"/>
                <w:color w:val="000000"/>
                <w:sz w:val="24"/>
                <w:szCs w:val="24"/>
              </w:rPr>
            </w:pPr>
            <w:r w:rsidRPr="00202839">
              <w:rPr>
                <w:rFonts w:asciiTheme="majorHAnsi" w:hAnsiTheme="majorHAnsi" w:cstheme="minorHAnsi"/>
                <w:color w:val="000000"/>
                <w:sz w:val="24"/>
                <w:szCs w:val="24"/>
              </w:rPr>
              <w:t>Local Community Boards or Councils</w:t>
            </w:r>
          </w:p>
        </w:tc>
        <w:tc>
          <w:tcPr>
            <w:tcW w:w="1219" w:type="dxa"/>
          </w:tcPr>
          <w:p w:rsidR="009D36CD" w:rsidRPr="00202839" w:rsidRDefault="009D36CD" w:rsidP="00967A2A">
            <w:pPr>
              <w:jc w:val="center"/>
              <w:rPr>
                <w:rFonts w:asciiTheme="majorHAnsi" w:hAnsiTheme="majorHAnsi" w:cstheme="minorHAnsi"/>
                <w:color w:val="000000"/>
                <w:sz w:val="24"/>
                <w:szCs w:val="24"/>
              </w:rPr>
            </w:pPr>
            <w:r w:rsidRPr="00202839">
              <w:rPr>
                <w:rFonts w:asciiTheme="majorHAnsi" w:hAnsiTheme="majorHAnsi" w:cstheme="minorHAnsi"/>
                <w:color w:val="000000"/>
                <w:sz w:val="24"/>
                <w:szCs w:val="24"/>
              </w:rPr>
              <w:t>National Courts</w:t>
            </w:r>
          </w:p>
        </w:tc>
        <w:tc>
          <w:tcPr>
            <w:tcW w:w="1550" w:type="dxa"/>
          </w:tcPr>
          <w:p w:rsidR="009D36CD" w:rsidRPr="00202839" w:rsidRDefault="009D36CD" w:rsidP="00967A2A">
            <w:pPr>
              <w:jc w:val="center"/>
              <w:rPr>
                <w:rFonts w:asciiTheme="majorHAnsi" w:hAnsiTheme="majorHAnsi" w:cstheme="minorHAnsi"/>
                <w:color w:val="000000"/>
                <w:sz w:val="24"/>
                <w:szCs w:val="24"/>
              </w:rPr>
            </w:pPr>
            <w:r w:rsidRPr="00202839">
              <w:rPr>
                <w:rFonts w:asciiTheme="majorHAnsi" w:hAnsiTheme="majorHAnsi" w:cstheme="minorHAnsi"/>
                <w:color w:val="000000"/>
                <w:sz w:val="24"/>
                <w:szCs w:val="24"/>
              </w:rPr>
              <w:t>National Human Rights Commission</w:t>
            </w:r>
          </w:p>
        </w:tc>
        <w:tc>
          <w:tcPr>
            <w:tcW w:w="1607" w:type="dxa"/>
          </w:tcPr>
          <w:p w:rsidR="009D36CD" w:rsidRPr="00202839" w:rsidRDefault="009D36CD" w:rsidP="00967A2A">
            <w:pPr>
              <w:jc w:val="center"/>
              <w:rPr>
                <w:rFonts w:asciiTheme="majorHAnsi" w:hAnsiTheme="majorHAnsi" w:cstheme="minorHAnsi"/>
                <w:color w:val="000000"/>
                <w:sz w:val="24"/>
                <w:szCs w:val="24"/>
              </w:rPr>
            </w:pPr>
            <w:r w:rsidRPr="00202839">
              <w:rPr>
                <w:rFonts w:asciiTheme="majorHAnsi" w:hAnsiTheme="majorHAnsi" w:cstheme="minorHAnsi"/>
                <w:color w:val="000000"/>
                <w:sz w:val="24"/>
                <w:szCs w:val="24"/>
              </w:rPr>
              <w:t>National Ombudsman</w:t>
            </w:r>
          </w:p>
        </w:tc>
      </w:tr>
      <w:tr w:rsidR="009D36CD" w:rsidRPr="00202839" w:rsidTr="00967A2A">
        <w:tc>
          <w:tcPr>
            <w:tcW w:w="703" w:type="dxa"/>
            <w:vMerge w:val="restart"/>
            <w:textDirection w:val="btLr"/>
          </w:tcPr>
          <w:p w:rsidR="009D36CD" w:rsidRPr="0065750F" w:rsidRDefault="009D36CD" w:rsidP="00967A2A">
            <w:pPr>
              <w:ind w:left="113" w:right="113"/>
              <w:rPr>
                <w:rFonts w:asciiTheme="majorHAnsi" w:hAnsiTheme="majorHAnsi" w:cstheme="minorHAnsi"/>
                <w:b/>
                <w:color w:val="000000"/>
                <w:sz w:val="24"/>
                <w:szCs w:val="24"/>
              </w:rPr>
            </w:pPr>
            <w:r w:rsidRPr="0065750F">
              <w:rPr>
                <w:rFonts w:asciiTheme="majorHAnsi" w:hAnsiTheme="majorHAnsi" w:cstheme="minorHAnsi"/>
                <w:b/>
                <w:color w:val="000000"/>
                <w:sz w:val="24"/>
                <w:szCs w:val="24"/>
              </w:rPr>
              <w:t>How high are stakes?</w:t>
            </w:r>
          </w:p>
        </w:tc>
        <w:tc>
          <w:tcPr>
            <w:tcW w:w="2232" w:type="dxa"/>
          </w:tcPr>
          <w:p w:rsidR="009D36CD" w:rsidRPr="00202839" w:rsidRDefault="009D36CD" w:rsidP="0065750F">
            <w:pPr>
              <w:rPr>
                <w:rFonts w:asciiTheme="majorHAnsi" w:hAnsiTheme="majorHAnsi" w:cstheme="minorHAnsi"/>
                <w:color w:val="000000"/>
                <w:sz w:val="24"/>
                <w:szCs w:val="24"/>
              </w:rPr>
            </w:pPr>
            <w:r w:rsidRPr="00202839">
              <w:rPr>
                <w:rFonts w:asciiTheme="majorHAnsi" w:hAnsiTheme="majorHAnsi" w:cstheme="minorHAnsi"/>
                <w:color w:val="000000"/>
                <w:sz w:val="24"/>
                <w:szCs w:val="24"/>
              </w:rPr>
              <w:t>Property/Tenure disputes</w:t>
            </w:r>
          </w:p>
        </w:tc>
        <w:tc>
          <w:tcPr>
            <w:tcW w:w="1931" w:type="dxa"/>
          </w:tcPr>
          <w:p w:rsidR="009D36CD" w:rsidRPr="00202839" w:rsidRDefault="009D36CD" w:rsidP="00967A2A">
            <w:pPr>
              <w:jc w:val="both"/>
              <w:rPr>
                <w:rFonts w:asciiTheme="majorHAnsi" w:hAnsiTheme="majorHAnsi" w:cstheme="minorHAnsi"/>
                <w:color w:val="000000"/>
                <w:sz w:val="24"/>
                <w:szCs w:val="24"/>
              </w:rPr>
            </w:pPr>
            <w:r w:rsidRPr="00202839">
              <w:rPr>
                <w:rFonts w:asciiTheme="majorHAnsi" w:hAnsiTheme="majorHAnsi" w:cstheme="minorHAnsi"/>
                <w:color w:val="000000"/>
                <w:sz w:val="24"/>
                <w:szCs w:val="24"/>
              </w:rPr>
              <w:t>High/medium</w:t>
            </w:r>
          </w:p>
        </w:tc>
        <w:tc>
          <w:tcPr>
            <w:tcW w:w="1219" w:type="dxa"/>
          </w:tcPr>
          <w:p w:rsidR="009D36CD" w:rsidRPr="00202839" w:rsidRDefault="009D36CD" w:rsidP="00967A2A">
            <w:pPr>
              <w:jc w:val="both"/>
              <w:rPr>
                <w:rFonts w:asciiTheme="majorHAnsi" w:hAnsiTheme="majorHAnsi" w:cstheme="minorHAnsi"/>
                <w:color w:val="000000"/>
                <w:sz w:val="24"/>
                <w:szCs w:val="24"/>
              </w:rPr>
            </w:pPr>
            <w:r w:rsidRPr="00202839">
              <w:rPr>
                <w:rFonts w:asciiTheme="majorHAnsi" w:hAnsiTheme="majorHAnsi" w:cstheme="minorHAnsi"/>
                <w:color w:val="000000"/>
                <w:sz w:val="24"/>
                <w:szCs w:val="24"/>
                <w:highlight w:val="red"/>
              </w:rPr>
              <w:t>High/low</w:t>
            </w:r>
          </w:p>
        </w:tc>
        <w:tc>
          <w:tcPr>
            <w:tcW w:w="1550" w:type="dxa"/>
          </w:tcPr>
          <w:p w:rsidR="009D36CD" w:rsidRPr="00202839" w:rsidRDefault="009D36CD" w:rsidP="00967A2A">
            <w:pPr>
              <w:jc w:val="both"/>
              <w:rPr>
                <w:rFonts w:asciiTheme="majorHAnsi" w:hAnsiTheme="majorHAnsi" w:cstheme="minorHAnsi"/>
                <w:color w:val="000000"/>
                <w:sz w:val="24"/>
                <w:szCs w:val="24"/>
              </w:rPr>
            </w:pPr>
            <w:r w:rsidRPr="00202839">
              <w:rPr>
                <w:rFonts w:asciiTheme="majorHAnsi" w:hAnsiTheme="majorHAnsi" w:cstheme="minorHAnsi"/>
                <w:color w:val="000000"/>
                <w:sz w:val="24"/>
                <w:szCs w:val="24"/>
                <w:highlight w:val="green"/>
              </w:rPr>
              <w:t>High/High</w:t>
            </w:r>
          </w:p>
        </w:tc>
        <w:tc>
          <w:tcPr>
            <w:tcW w:w="1607" w:type="dxa"/>
          </w:tcPr>
          <w:p w:rsidR="009D36CD" w:rsidRPr="00202839" w:rsidRDefault="009D36CD" w:rsidP="00967A2A">
            <w:pPr>
              <w:jc w:val="both"/>
              <w:rPr>
                <w:rFonts w:asciiTheme="majorHAnsi" w:hAnsiTheme="majorHAnsi" w:cstheme="minorHAnsi"/>
                <w:color w:val="000000"/>
                <w:sz w:val="24"/>
                <w:szCs w:val="24"/>
              </w:rPr>
            </w:pPr>
          </w:p>
        </w:tc>
      </w:tr>
      <w:tr w:rsidR="009D36CD" w:rsidRPr="00202839" w:rsidTr="00967A2A">
        <w:tc>
          <w:tcPr>
            <w:tcW w:w="703" w:type="dxa"/>
            <w:vMerge/>
          </w:tcPr>
          <w:p w:rsidR="009D36CD" w:rsidRPr="00202839" w:rsidRDefault="009D36CD" w:rsidP="00967A2A">
            <w:pPr>
              <w:jc w:val="both"/>
              <w:rPr>
                <w:rFonts w:asciiTheme="majorHAnsi" w:hAnsiTheme="majorHAnsi" w:cstheme="minorHAnsi"/>
                <w:color w:val="000000"/>
                <w:sz w:val="24"/>
                <w:szCs w:val="24"/>
              </w:rPr>
            </w:pPr>
          </w:p>
        </w:tc>
        <w:tc>
          <w:tcPr>
            <w:tcW w:w="2232" w:type="dxa"/>
          </w:tcPr>
          <w:p w:rsidR="009D36CD" w:rsidRPr="00202839" w:rsidRDefault="009D36CD" w:rsidP="0065750F">
            <w:pPr>
              <w:rPr>
                <w:rFonts w:asciiTheme="majorHAnsi" w:hAnsiTheme="majorHAnsi" w:cstheme="minorHAnsi"/>
                <w:color w:val="000000"/>
                <w:sz w:val="24"/>
                <w:szCs w:val="24"/>
              </w:rPr>
            </w:pPr>
            <w:r w:rsidRPr="00202839">
              <w:rPr>
                <w:rFonts w:asciiTheme="majorHAnsi" w:hAnsiTheme="majorHAnsi" w:cstheme="minorHAnsi"/>
                <w:color w:val="000000"/>
                <w:sz w:val="24"/>
                <w:szCs w:val="24"/>
              </w:rPr>
              <w:t xml:space="preserve">Benefit Sharing </w:t>
            </w:r>
          </w:p>
        </w:tc>
        <w:tc>
          <w:tcPr>
            <w:tcW w:w="1931" w:type="dxa"/>
          </w:tcPr>
          <w:p w:rsidR="009D36CD" w:rsidRPr="00202839" w:rsidRDefault="009D36CD" w:rsidP="00967A2A">
            <w:pPr>
              <w:jc w:val="both"/>
              <w:rPr>
                <w:rFonts w:asciiTheme="majorHAnsi" w:hAnsiTheme="majorHAnsi" w:cstheme="minorHAnsi"/>
                <w:color w:val="000000"/>
                <w:sz w:val="24"/>
                <w:szCs w:val="24"/>
              </w:rPr>
            </w:pPr>
            <w:r w:rsidRPr="00202839">
              <w:rPr>
                <w:rFonts w:asciiTheme="majorHAnsi" w:hAnsiTheme="majorHAnsi" w:cstheme="minorHAnsi"/>
                <w:color w:val="000000"/>
                <w:sz w:val="24"/>
                <w:szCs w:val="24"/>
              </w:rPr>
              <w:t>Etc.</w:t>
            </w:r>
          </w:p>
          <w:p w:rsidR="009D36CD" w:rsidRPr="00202839" w:rsidRDefault="009D36CD" w:rsidP="00967A2A">
            <w:pPr>
              <w:jc w:val="both"/>
              <w:rPr>
                <w:rFonts w:asciiTheme="majorHAnsi" w:hAnsiTheme="majorHAnsi" w:cstheme="minorHAnsi"/>
                <w:color w:val="000000"/>
                <w:sz w:val="24"/>
                <w:szCs w:val="24"/>
              </w:rPr>
            </w:pPr>
          </w:p>
        </w:tc>
        <w:tc>
          <w:tcPr>
            <w:tcW w:w="1219" w:type="dxa"/>
          </w:tcPr>
          <w:p w:rsidR="009D36CD" w:rsidRPr="00202839" w:rsidRDefault="009D36CD" w:rsidP="00967A2A">
            <w:pPr>
              <w:jc w:val="both"/>
              <w:rPr>
                <w:rFonts w:asciiTheme="majorHAnsi" w:hAnsiTheme="majorHAnsi" w:cstheme="minorHAnsi"/>
                <w:color w:val="000000"/>
                <w:sz w:val="24"/>
                <w:szCs w:val="24"/>
              </w:rPr>
            </w:pPr>
          </w:p>
        </w:tc>
        <w:tc>
          <w:tcPr>
            <w:tcW w:w="1550" w:type="dxa"/>
          </w:tcPr>
          <w:p w:rsidR="009D36CD" w:rsidRPr="00202839" w:rsidRDefault="009D36CD" w:rsidP="00967A2A">
            <w:pPr>
              <w:jc w:val="both"/>
              <w:rPr>
                <w:rFonts w:asciiTheme="majorHAnsi" w:hAnsiTheme="majorHAnsi" w:cstheme="minorHAnsi"/>
                <w:color w:val="000000"/>
                <w:sz w:val="24"/>
                <w:szCs w:val="24"/>
              </w:rPr>
            </w:pPr>
          </w:p>
        </w:tc>
        <w:tc>
          <w:tcPr>
            <w:tcW w:w="1607" w:type="dxa"/>
          </w:tcPr>
          <w:p w:rsidR="009D36CD" w:rsidRPr="00202839" w:rsidRDefault="009D36CD" w:rsidP="00967A2A">
            <w:pPr>
              <w:jc w:val="both"/>
              <w:rPr>
                <w:rFonts w:asciiTheme="majorHAnsi" w:hAnsiTheme="majorHAnsi" w:cstheme="minorHAnsi"/>
                <w:color w:val="000000"/>
                <w:sz w:val="24"/>
                <w:szCs w:val="24"/>
              </w:rPr>
            </w:pPr>
          </w:p>
        </w:tc>
      </w:tr>
      <w:tr w:rsidR="009D36CD" w:rsidRPr="00202839" w:rsidTr="00967A2A">
        <w:tc>
          <w:tcPr>
            <w:tcW w:w="703" w:type="dxa"/>
            <w:vMerge/>
          </w:tcPr>
          <w:p w:rsidR="009D36CD" w:rsidRPr="00202839" w:rsidRDefault="009D36CD" w:rsidP="00967A2A">
            <w:pPr>
              <w:jc w:val="both"/>
              <w:rPr>
                <w:rFonts w:asciiTheme="majorHAnsi" w:hAnsiTheme="majorHAnsi" w:cstheme="minorHAnsi"/>
                <w:color w:val="000000"/>
                <w:sz w:val="24"/>
                <w:szCs w:val="24"/>
              </w:rPr>
            </w:pPr>
          </w:p>
        </w:tc>
        <w:tc>
          <w:tcPr>
            <w:tcW w:w="2232" w:type="dxa"/>
          </w:tcPr>
          <w:p w:rsidR="009D36CD" w:rsidRPr="00202839" w:rsidRDefault="009D36CD" w:rsidP="0065750F">
            <w:pPr>
              <w:rPr>
                <w:rFonts w:asciiTheme="majorHAnsi" w:hAnsiTheme="majorHAnsi" w:cstheme="minorHAnsi"/>
                <w:color w:val="000000"/>
                <w:sz w:val="24"/>
                <w:szCs w:val="24"/>
              </w:rPr>
            </w:pPr>
            <w:r w:rsidRPr="00202839">
              <w:rPr>
                <w:rFonts w:asciiTheme="majorHAnsi" w:hAnsiTheme="majorHAnsi" w:cstheme="minorHAnsi"/>
                <w:color w:val="000000"/>
                <w:sz w:val="24"/>
                <w:szCs w:val="24"/>
              </w:rPr>
              <w:t>Participation in Decision-making</w:t>
            </w:r>
          </w:p>
        </w:tc>
        <w:tc>
          <w:tcPr>
            <w:tcW w:w="1931" w:type="dxa"/>
          </w:tcPr>
          <w:p w:rsidR="009D36CD" w:rsidRPr="00202839" w:rsidRDefault="009D36CD" w:rsidP="00967A2A">
            <w:pPr>
              <w:jc w:val="both"/>
              <w:rPr>
                <w:rFonts w:asciiTheme="majorHAnsi" w:hAnsiTheme="majorHAnsi" w:cstheme="minorHAnsi"/>
                <w:color w:val="000000"/>
                <w:sz w:val="24"/>
                <w:szCs w:val="24"/>
              </w:rPr>
            </w:pPr>
          </w:p>
        </w:tc>
        <w:tc>
          <w:tcPr>
            <w:tcW w:w="1219" w:type="dxa"/>
          </w:tcPr>
          <w:p w:rsidR="009D36CD" w:rsidRPr="00202839" w:rsidRDefault="009D36CD" w:rsidP="00967A2A">
            <w:pPr>
              <w:jc w:val="both"/>
              <w:rPr>
                <w:rFonts w:asciiTheme="majorHAnsi" w:hAnsiTheme="majorHAnsi" w:cstheme="minorHAnsi"/>
                <w:color w:val="000000"/>
                <w:sz w:val="24"/>
                <w:szCs w:val="24"/>
              </w:rPr>
            </w:pPr>
          </w:p>
        </w:tc>
        <w:tc>
          <w:tcPr>
            <w:tcW w:w="1550" w:type="dxa"/>
          </w:tcPr>
          <w:p w:rsidR="009D36CD" w:rsidRPr="00202839" w:rsidRDefault="009D36CD" w:rsidP="00967A2A">
            <w:pPr>
              <w:jc w:val="both"/>
              <w:rPr>
                <w:rFonts w:asciiTheme="majorHAnsi" w:hAnsiTheme="majorHAnsi" w:cstheme="minorHAnsi"/>
                <w:color w:val="000000"/>
                <w:sz w:val="24"/>
                <w:szCs w:val="24"/>
              </w:rPr>
            </w:pPr>
          </w:p>
        </w:tc>
        <w:tc>
          <w:tcPr>
            <w:tcW w:w="1607" w:type="dxa"/>
          </w:tcPr>
          <w:p w:rsidR="009D36CD" w:rsidRPr="00202839" w:rsidRDefault="009D36CD" w:rsidP="00967A2A">
            <w:pPr>
              <w:jc w:val="both"/>
              <w:rPr>
                <w:rFonts w:asciiTheme="majorHAnsi" w:hAnsiTheme="majorHAnsi" w:cstheme="minorHAnsi"/>
                <w:color w:val="000000"/>
                <w:sz w:val="24"/>
                <w:szCs w:val="24"/>
              </w:rPr>
            </w:pPr>
          </w:p>
        </w:tc>
      </w:tr>
    </w:tbl>
    <w:p w:rsidR="009D36CD" w:rsidRPr="00202839" w:rsidRDefault="009D36CD" w:rsidP="009D36CD">
      <w:pPr>
        <w:spacing w:after="0" w:line="240" w:lineRule="auto"/>
        <w:jc w:val="both"/>
        <w:rPr>
          <w:rFonts w:asciiTheme="majorHAnsi" w:hAnsiTheme="majorHAnsi" w:cstheme="minorHAnsi"/>
          <w:sz w:val="24"/>
          <w:szCs w:val="24"/>
        </w:rPr>
      </w:pPr>
    </w:p>
    <w:p w:rsidR="009D36CD" w:rsidRPr="00202839" w:rsidRDefault="009D36CD" w:rsidP="009D36CD">
      <w:pPr>
        <w:spacing w:after="0" w:line="240" w:lineRule="auto"/>
        <w:contextualSpacing/>
        <w:jc w:val="both"/>
        <w:rPr>
          <w:rFonts w:asciiTheme="majorHAnsi" w:hAnsiTheme="majorHAnsi" w:cstheme="minorHAnsi"/>
          <w:sz w:val="24"/>
          <w:szCs w:val="24"/>
        </w:rPr>
      </w:pPr>
      <w:r w:rsidRPr="00202839">
        <w:rPr>
          <w:rFonts w:asciiTheme="majorHAnsi" w:hAnsiTheme="majorHAnsi" w:cstheme="minorHAnsi"/>
          <w:color w:val="000000"/>
          <w:sz w:val="24"/>
          <w:szCs w:val="24"/>
        </w:rPr>
        <w:t xml:space="preserve">Issues and stakeholder reviews will be mostly desk-based and will initially and primarily rely on the information contained in the R-PP (1a, 1b, </w:t>
      </w:r>
      <w:proofErr w:type="gramStart"/>
      <w:r w:rsidRPr="00202839">
        <w:rPr>
          <w:rFonts w:asciiTheme="majorHAnsi" w:hAnsiTheme="majorHAnsi" w:cstheme="minorHAnsi"/>
          <w:color w:val="000000"/>
          <w:sz w:val="24"/>
          <w:szCs w:val="24"/>
        </w:rPr>
        <w:t>1c</w:t>
      </w:r>
      <w:proofErr w:type="gramEnd"/>
      <w:r w:rsidRPr="00202839">
        <w:rPr>
          <w:rFonts w:asciiTheme="majorHAnsi" w:hAnsiTheme="majorHAnsi" w:cstheme="minorHAnsi"/>
          <w:color w:val="000000"/>
          <w:sz w:val="24"/>
          <w:szCs w:val="24"/>
        </w:rPr>
        <w:t xml:space="preserve">) and Strategic Environmental and Social Assessments prepared for and by each country, as described in section 2a of their R-PP. Where SESAs do not provide sufficient input for the review that is relevant from a conflict-sensitive perspective, the gaps will be bridged by strengthening the capacity of FCPF’s SESA team -through training and/or technical assistance- to gather additional information. </w:t>
      </w:r>
    </w:p>
    <w:p w:rsidR="009D36CD" w:rsidRPr="00202839" w:rsidRDefault="009D36CD" w:rsidP="009D36CD">
      <w:pPr>
        <w:spacing w:after="0" w:line="240" w:lineRule="auto"/>
        <w:contextualSpacing/>
        <w:jc w:val="both"/>
        <w:rPr>
          <w:rFonts w:asciiTheme="majorHAnsi" w:hAnsiTheme="majorHAnsi" w:cstheme="minorHAnsi"/>
          <w:color w:val="000000"/>
          <w:sz w:val="24"/>
          <w:szCs w:val="24"/>
        </w:rPr>
      </w:pPr>
    </w:p>
    <w:p w:rsidR="009D36CD" w:rsidRPr="00202839" w:rsidRDefault="009D36CD" w:rsidP="009D36CD">
      <w:pPr>
        <w:spacing w:after="0" w:line="240" w:lineRule="auto"/>
        <w:contextualSpacing/>
        <w:jc w:val="both"/>
        <w:rPr>
          <w:rFonts w:asciiTheme="majorHAnsi" w:hAnsiTheme="majorHAnsi" w:cstheme="minorHAnsi"/>
          <w:sz w:val="24"/>
          <w:szCs w:val="24"/>
        </w:rPr>
      </w:pPr>
      <w:r w:rsidRPr="00202839">
        <w:rPr>
          <w:rFonts w:asciiTheme="majorHAnsi" w:hAnsiTheme="majorHAnsi" w:cstheme="minorHAnsi"/>
          <w:color w:val="000000"/>
          <w:sz w:val="24"/>
          <w:szCs w:val="24"/>
        </w:rPr>
        <w:t xml:space="preserve">Review of </w:t>
      </w:r>
      <w:r w:rsidR="00967A2A">
        <w:rPr>
          <w:rFonts w:asciiTheme="majorHAnsi" w:hAnsiTheme="majorHAnsi" w:cstheme="minorHAnsi"/>
          <w:color w:val="000000"/>
          <w:sz w:val="24"/>
          <w:szCs w:val="24"/>
        </w:rPr>
        <w:t xml:space="preserve">institutional </w:t>
      </w:r>
      <w:r w:rsidRPr="00202839">
        <w:rPr>
          <w:rFonts w:asciiTheme="majorHAnsi" w:hAnsiTheme="majorHAnsi" w:cstheme="minorHAnsi"/>
          <w:color w:val="000000"/>
          <w:sz w:val="24"/>
          <w:szCs w:val="24"/>
        </w:rPr>
        <w:t>capacity to address REDD+-related disputes will require both desk-work and in-country interviews. It will include and support, but not be limited to, the rapid assessments mentioned in section 1.a.8.</w:t>
      </w:r>
      <w:proofErr w:type="spellStart"/>
      <w:r w:rsidRPr="00202839">
        <w:rPr>
          <w:rFonts w:asciiTheme="majorHAnsi" w:hAnsiTheme="majorHAnsi" w:cstheme="minorHAnsi"/>
          <w:color w:val="000000"/>
          <w:sz w:val="24"/>
          <w:szCs w:val="24"/>
        </w:rPr>
        <w:t>a</w:t>
      </w:r>
      <w:proofErr w:type="spellEnd"/>
      <w:r w:rsidRPr="00202839">
        <w:rPr>
          <w:rFonts w:asciiTheme="majorHAnsi" w:hAnsiTheme="majorHAnsi" w:cstheme="minorHAnsi"/>
          <w:color w:val="000000"/>
          <w:sz w:val="24"/>
          <w:szCs w:val="24"/>
        </w:rPr>
        <w:t xml:space="preserve"> of the R-PP and the analysis of institutional capacity referred to in section 2.b.2.4 (feasibility assessment). It will also inquire how stakeholders view and trust the data compiled and produced under section 2.a.</w:t>
      </w:r>
    </w:p>
    <w:p w:rsidR="009D36CD" w:rsidRPr="00202839" w:rsidRDefault="009D36CD" w:rsidP="009D36CD">
      <w:pPr>
        <w:spacing w:after="0" w:line="240" w:lineRule="auto"/>
        <w:contextualSpacing/>
        <w:jc w:val="both"/>
        <w:rPr>
          <w:rFonts w:asciiTheme="majorHAnsi" w:hAnsiTheme="majorHAnsi" w:cstheme="minorHAnsi"/>
          <w:color w:val="000000"/>
          <w:sz w:val="24"/>
          <w:szCs w:val="24"/>
        </w:rPr>
      </w:pPr>
    </w:p>
    <w:p w:rsidR="009D36CD" w:rsidRPr="00202839" w:rsidRDefault="009D36CD" w:rsidP="009D36CD">
      <w:pPr>
        <w:spacing w:after="0" w:line="240" w:lineRule="auto"/>
        <w:contextualSpacing/>
        <w:jc w:val="both"/>
        <w:rPr>
          <w:rFonts w:asciiTheme="majorHAnsi" w:hAnsiTheme="majorHAnsi" w:cstheme="minorHAnsi"/>
          <w:color w:val="000000"/>
          <w:sz w:val="24"/>
          <w:szCs w:val="24"/>
        </w:rPr>
      </w:pPr>
      <w:r w:rsidRPr="00202839">
        <w:rPr>
          <w:rFonts w:asciiTheme="majorHAnsi" w:hAnsiTheme="majorHAnsi" w:cstheme="minorHAnsi"/>
          <w:color w:val="000000"/>
          <w:sz w:val="24"/>
          <w:szCs w:val="24"/>
        </w:rPr>
        <w:t xml:space="preserve">Work will begin with an initial desk-review. Preliminary findings will be shared with FCPF and national authorities to decide if a more thorough review is merited. </w:t>
      </w:r>
    </w:p>
    <w:p w:rsidR="009D36CD" w:rsidRDefault="009D36CD" w:rsidP="0065750F">
      <w:pPr>
        <w:keepNext/>
        <w:spacing w:after="0" w:line="240" w:lineRule="auto"/>
        <w:jc w:val="both"/>
        <w:rPr>
          <w:rFonts w:asciiTheme="majorHAnsi" w:hAnsiTheme="majorHAnsi" w:cstheme="minorHAnsi"/>
          <w:sz w:val="24"/>
          <w:szCs w:val="24"/>
        </w:rPr>
      </w:pPr>
    </w:p>
    <w:p w:rsidR="00746BCD" w:rsidRPr="0065750F" w:rsidRDefault="00746BCD" w:rsidP="0065750F">
      <w:pPr>
        <w:keepNext/>
        <w:spacing w:after="0" w:line="240" w:lineRule="auto"/>
        <w:jc w:val="both"/>
        <w:rPr>
          <w:rFonts w:asciiTheme="majorHAnsi" w:hAnsiTheme="majorHAnsi" w:cstheme="minorHAnsi"/>
          <w:b/>
          <w:sz w:val="24"/>
          <w:szCs w:val="24"/>
        </w:rPr>
      </w:pPr>
      <w:r w:rsidRPr="0065750F">
        <w:rPr>
          <w:rFonts w:asciiTheme="majorHAnsi" w:hAnsiTheme="majorHAnsi" w:cstheme="minorHAnsi"/>
          <w:b/>
          <w:sz w:val="24"/>
          <w:szCs w:val="24"/>
        </w:rPr>
        <w:t>Step 3:</w:t>
      </w:r>
      <w:r w:rsidRPr="0065750F">
        <w:rPr>
          <w:rFonts w:asciiTheme="majorHAnsi" w:hAnsiTheme="majorHAnsi" w:cstheme="minorHAnsi"/>
          <w:b/>
          <w:sz w:val="24"/>
          <w:szCs w:val="24"/>
        </w:rPr>
        <w:tab/>
        <w:t>Action Plan</w:t>
      </w:r>
    </w:p>
    <w:p w:rsidR="009D36CD" w:rsidRDefault="00746BCD" w:rsidP="0065750F">
      <w:pPr>
        <w:keepNext/>
        <w:spacing w:after="0" w:line="240" w:lineRule="auto"/>
        <w:jc w:val="both"/>
        <w:rPr>
          <w:rFonts w:asciiTheme="majorHAnsi" w:hAnsiTheme="majorHAnsi" w:cstheme="minorHAnsi"/>
          <w:sz w:val="24"/>
          <w:szCs w:val="24"/>
        </w:rPr>
      </w:pPr>
      <w:r>
        <w:rPr>
          <w:rFonts w:asciiTheme="majorHAnsi" w:hAnsiTheme="majorHAnsi" w:cstheme="minorHAnsi"/>
          <w:sz w:val="24"/>
          <w:szCs w:val="24"/>
        </w:rPr>
        <w:t>Action plans will necessarily be country specific, but should focus on tangible steps that can be taken within the coming 12-24 months to strengthen grievance capacity. Countries should use the action plans to define how they intend to use the $200,000 in dedicated FCPF funds for grievance redress in the Readiness phase.</w:t>
      </w:r>
    </w:p>
    <w:p w:rsidR="00746BCD" w:rsidRDefault="00746BCD" w:rsidP="0065750F">
      <w:pPr>
        <w:keepNext/>
        <w:spacing w:after="0" w:line="240" w:lineRule="auto"/>
        <w:jc w:val="both"/>
        <w:rPr>
          <w:rFonts w:asciiTheme="majorHAnsi" w:hAnsiTheme="majorHAnsi" w:cstheme="minorHAnsi"/>
          <w:sz w:val="24"/>
          <w:szCs w:val="24"/>
        </w:rPr>
      </w:pPr>
    </w:p>
    <w:p w:rsidR="00746BCD" w:rsidRPr="00202839" w:rsidRDefault="00746BCD" w:rsidP="00746BCD">
      <w:pPr>
        <w:spacing w:after="0" w:line="240" w:lineRule="auto"/>
        <w:contextualSpacing/>
        <w:jc w:val="both"/>
        <w:rPr>
          <w:rFonts w:asciiTheme="majorHAnsi" w:hAnsiTheme="majorHAnsi" w:cstheme="minorHAnsi"/>
          <w:color w:val="000000"/>
          <w:sz w:val="24"/>
          <w:szCs w:val="24"/>
        </w:rPr>
      </w:pPr>
      <w:r w:rsidRPr="00202839">
        <w:rPr>
          <w:rFonts w:asciiTheme="majorHAnsi" w:hAnsiTheme="majorHAnsi" w:cstheme="minorHAnsi"/>
          <w:color w:val="000000"/>
          <w:sz w:val="24"/>
          <w:szCs w:val="24"/>
        </w:rPr>
        <w:t>In practical terms, there are a small number of components for an effective institutional ap</w:t>
      </w:r>
      <w:r>
        <w:rPr>
          <w:rFonts w:asciiTheme="majorHAnsi" w:hAnsiTheme="majorHAnsi" w:cstheme="minorHAnsi"/>
          <w:color w:val="000000"/>
          <w:sz w:val="24"/>
          <w:szCs w:val="24"/>
        </w:rPr>
        <w:t>proach to grievance management:</w:t>
      </w:r>
    </w:p>
    <w:p w:rsidR="00746BCD" w:rsidRPr="00202839" w:rsidRDefault="00746BCD" w:rsidP="00746BCD">
      <w:pPr>
        <w:spacing w:after="0" w:line="240" w:lineRule="auto"/>
        <w:contextualSpacing/>
        <w:jc w:val="both"/>
        <w:rPr>
          <w:rFonts w:asciiTheme="majorHAnsi" w:hAnsiTheme="majorHAnsi" w:cstheme="minorHAnsi"/>
          <w:color w:val="000000"/>
          <w:sz w:val="24"/>
          <w:szCs w:val="24"/>
        </w:rPr>
      </w:pPr>
    </w:p>
    <w:p w:rsidR="00746BCD" w:rsidRPr="00202839" w:rsidRDefault="00746BCD" w:rsidP="00746BCD">
      <w:pPr>
        <w:spacing w:after="0" w:line="240" w:lineRule="auto"/>
        <w:contextualSpacing/>
        <w:jc w:val="both"/>
        <w:rPr>
          <w:rFonts w:asciiTheme="majorHAnsi" w:hAnsiTheme="majorHAnsi" w:cstheme="minorHAnsi"/>
          <w:color w:val="000000"/>
          <w:sz w:val="24"/>
          <w:szCs w:val="24"/>
        </w:rPr>
      </w:pPr>
      <w:r w:rsidRPr="0065750F">
        <w:rPr>
          <w:rFonts w:asciiTheme="majorHAnsi" w:hAnsiTheme="majorHAnsi" w:cstheme="minorHAnsi"/>
          <w:color w:val="000000"/>
          <w:sz w:val="24"/>
          <w:szCs w:val="24"/>
          <w:u w:val="single"/>
        </w:rPr>
        <w:t xml:space="preserve">An easily accessible and well </w:t>
      </w:r>
      <w:proofErr w:type="spellStart"/>
      <w:r w:rsidRPr="0065750F">
        <w:rPr>
          <w:rFonts w:asciiTheme="majorHAnsi" w:hAnsiTheme="majorHAnsi" w:cstheme="minorHAnsi"/>
          <w:color w:val="000000"/>
          <w:sz w:val="24"/>
          <w:szCs w:val="24"/>
          <w:u w:val="single"/>
        </w:rPr>
        <w:t>publicised</w:t>
      </w:r>
      <w:proofErr w:type="spellEnd"/>
      <w:r w:rsidRPr="0065750F">
        <w:rPr>
          <w:rFonts w:asciiTheme="majorHAnsi" w:hAnsiTheme="majorHAnsi" w:cstheme="minorHAnsi"/>
          <w:color w:val="000000"/>
          <w:sz w:val="24"/>
          <w:szCs w:val="24"/>
          <w:u w:val="single"/>
        </w:rPr>
        <w:t xml:space="preserve"> focal point or user-facing ‘help desk’.</w:t>
      </w:r>
      <w:r w:rsidRPr="00202839">
        <w:rPr>
          <w:rFonts w:asciiTheme="majorHAnsi" w:hAnsiTheme="majorHAnsi" w:cstheme="minorHAnsi"/>
          <w:color w:val="000000"/>
          <w:sz w:val="24"/>
          <w:szCs w:val="24"/>
        </w:rPr>
        <w:t xml:space="preserve"> This can be within the relevant agency or government department, but must be in a location that is seen as credible.   Typically, the user should be provided with a receipt and ‘roadmap’ </w:t>
      </w:r>
      <w:r w:rsidRPr="00202839">
        <w:rPr>
          <w:rFonts w:asciiTheme="majorHAnsi" w:hAnsiTheme="majorHAnsi" w:cstheme="minorHAnsi"/>
          <w:color w:val="000000"/>
          <w:sz w:val="24"/>
          <w:szCs w:val="24"/>
        </w:rPr>
        <w:lastRenderedPageBreak/>
        <w:t xml:space="preserve">telling him/her how the complaint process works and when to expect further information. This is the point where a grievance log or registry is opened. </w:t>
      </w:r>
      <w:proofErr w:type="spellStart"/>
      <w:r w:rsidRPr="00202839">
        <w:rPr>
          <w:rFonts w:asciiTheme="majorHAnsi" w:hAnsiTheme="majorHAnsi" w:cstheme="minorHAnsi"/>
          <w:color w:val="000000"/>
          <w:sz w:val="24"/>
          <w:szCs w:val="24"/>
        </w:rPr>
        <w:t>Recognising</w:t>
      </w:r>
      <w:proofErr w:type="spellEnd"/>
      <w:r w:rsidRPr="00202839">
        <w:rPr>
          <w:rFonts w:asciiTheme="majorHAnsi" w:hAnsiTheme="majorHAnsi" w:cstheme="minorHAnsi"/>
          <w:color w:val="000000"/>
          <w:sz w:val="24"/>
          <w:szCs w:val="24"/>
        </w:rPr>
        <w:t xml:space="preserve"> that many complaints may be resolved ‘on the spot’ and informally by project staff, there are opportunities to encourage these informal resolutions to be logged here to (</w:t>
      </w:r>
      <w:proofErr w:type="spellStart"/>
      <w:r w:rsidRPr="00202839">
        <w:rPr>
          <w:rFonts w:asciiTheme="majorHAnsi" w:hAnsiTheme="majorHAnsi" w:cstheme="minorHAnsi"/>
          <w:color w:val="000000"/>
          <w:sz w:val="24"/>
          <w:szCs w:val="24"/>
        </w:rPr>
        <w:t>i</w:t>
      </w:r>
      <w:proofErr w:type="spellEnd"/>
      <w:r w:rsidRPr="00202839">
        <w:rPr>
          <w:rFonts w:asciiTheme="majorHAnsi" w:hAnsiTheme="majorHAnsi" w:cstheme="minorHAnsi"/>
          <w:color w:val="000000"/>
          <w:sz w:val="24"/>
          <w:szCs w:val="24"/>
        </w:rPr>
        <w:t>) encourage responsiveness; and (ii) ensure that repeated or low-level grievances are being noted in the system.</w:t>
      </w:r>
    </w:p>
    <w:p w:rsidR="00746BCD" w:rsidRDefault="00746BCD" w:rsidP="00746BCD">
      <w:pPr>
        <w:spacing w:after="0" w:line="240" w:lineRule="auto"/>
        <w:contextualSpacing/>
        <w:jc w:val="both"/>
        <w:rPr>
          <w:rFonts w:asciiTheme="majorHAnsi" w:hAnsiTheme="majorHAnsi" w:cstheme="minorHAnsi"/>
          <w:b/>
          <w:color w:val="000000"/>
          <w:sz w:val="24"/>
          <w:szCs w:val="24"/>
        </w:rPr>
      </w:pPr>
    </w:p>
    <w:p w:rsidR="00746BCD" w:rsidRPr="00202839" w:rsidRDefault="00746BCD" w:rsidP="00746BCD">
      <w:pPr>
        <w:spacing w:after="0" w:line="240" w:lineRule="auto"/>
        <w:contextualSpacing/>
        <w:jc w:val="both"/>
        <w:rPr>
          <w:rFonts w:asciiTheme="majorHAnsi" w:hAnsiTheme="majorHAnsi" w:cstheme="minorHAnsi"/>
          <w:color w:val="000000"/>
          <w:sz w:val="24"/>
          <w:szCs w:val="24"/>
        </w:rPr>
      </w:pPr>
      <w:r w:rsidRPr="0065750F">
        <w:rPr>
          <w:rFonts w:asciiTheme="majorHAnsi" w:hAnsiTheme="majorHAnsi" w:cstheme="minorHAnsi"/>
          <w:color w:val="000000"/>
          <w:sz w:val="24"/>
          <w:szCs w:val="24"/>
          <w:u w:val="single"/>
        </w:rPr>
        <w:t>Review of eligibility</w:t>
      </w:r>
      <w:r w:rsidRPr="00202839">
        <w:rPr>
          <w:rFonts w:asciiTheme="majorHAnsi" w:hAnsiTheme="majorHAnsi" w:cstheme="minorHAnsi"/>
          <w:color w:val="000000"/>
          <w:sz w:val="24"/>
          <w:szCs w:val="24"/>
        </w:rPr>
        <w:t xml:space="preserve">. This should be a procedural step to ensure that the issue being raised is relevant to the REDD+ program. It is often better to ensure a relatively low barrier to entry with quick turn-around rather than to prevent users having their issues considered. </w:t>
      </w:r>
    </w:p>
    <w:p w:rsidR="00746BCD" w:rsidRDefault="00746BCD" w:rsidP="00746BCD">
      <w:pPr>
        <w:spacing w:after="0" w:line="240" w:lineRule="auto"/>
        <w:contextualSpacing/>
        <w:jc w:val="both"/>
        <w:rPr>
          <w:rFonts w:asciiTheme="majorHAnsi" w:hAnsiTheme="majorHAnsi" w:cstheme="minorHAnsi"/>
          <w:b/>
          <w:color w:val="000000"/>
          <w:sz w:val="24"/>
          <w:szCs w:val="24"/>
        </w:rPr>
      </w:pPr>
    </w:p>
    <w:p w:rsidR="00746BCD" w:rsidRPr="00202839" w:rsidRDefault="00746BCD" w:rsidP="00746BCD">
      <w:pPr>
        <w:spacing w:after="0" w:line="240" w:lineRule="auto"/>
        <w:contextualSpacing/>
        <w:jc w:val="both"/>
        <w:rPr>
          <w:rFonts w:asciiTheme="majorHAnsi" w:hAnsiTheme="majorHAnsi" w:cstheme="minorHAnsi"/>
          <w:color w:val="000000"/>
          <w:sz w:val="24"/>
          <w:szCs w:val="24"/>
        </w:rPr>
      </w:pPr>
      <w:r w:rsidRPr="0065750F">
        <w:rPr>
          <w:rFonts w:asciiTheme="majorHAnsi" w:hAnsiTheme="majorHAnsi" w:cstheme="minorHAnsi"/>
          <w:color w:val="000000"/>
          <w:sz w:val="24"/>
          <w:szCs w:val="24"/>
          <w:u w:val="single"/>
        </w:rPr>
        <w:t>Assign.</w:t>
      </w:r>
      <w:r w:rsidRPr="00202839">
        <w:rPr>
          <w:rFonts w:asciiTheme="majorHAnsi" w:hAnsiTheme="majorHAnsi" w:cstheme="minorHAnsi"/>
          <w:color w:val="000000"/>
          <w:sz w:val="24"/>
          <w:szCs w:val="24"/>
        </w:rPr>
        <w:t xml:space="preserve">   This stage requires some technical capacity.  Grievances should be </w:t>
      </w:r>
      <w:proofErr w:type="spellStart"/>
      <w:r w:rsidRPr="00202839">
        <w:rPr>
          <w:rFonts w:asciiTheme="majorHAnsi" w:hAnsiTheme="majorHAnsi" w:cstheme="minorHAnsi"/>
          <w:color w:val="000000"/>
          <w:sz w:val="24"/>
          <w:szCs w:val="24"/>
        </w:rPr>
        <w:t>categorised</w:t>
      </w:r>
      <w:proofErr w:type="spellEnd"/>
      <w:r w:rsidRPr="00202839">
        <w:rPr>
          <w:rFonts w:asciiTheme="majorHAnsi" w:hAnsiTheme="majorHAnsi" w:cstheme="minorHAnsi"/>
          <w:color w:val="000000"/>
          <w:sz w:val="24"/>
          <w:szCs w:val="24"/>
        </w:rPr>
        <w:t xml:space="preserve"> according to the type of issue raised and the effect on the environment/claimant if the impacts raised in the complaint were to occur. Based on this </w:t>
      </w:r>
      <w:proofErr w:type="spellStart"/>
      <w:r w:rsidRPr="00202839">
        <w:rPr>
          <w:rFonts w:asciiTheme="majorHAnsi" w:hAnsiTheme="majorHAnsi" w:cstheme="minorHAnsi"/>
          <w:color w:val="000000"/>
          <w:sz w:val="24"/>
          <w:szCs w:val="24"/>
        </w:rPr>
        <w:t>categorisation</w:t>
      </w:r>
      <w:proofErr w:type="spellEnd"/>
      <w:r w:rsidRPr="00202839">
        <w:rPr>
          <w:rFonts w:asciiTheme="majorHAnsi" w:hAnsiTheme="majorHAnsi" w:cstheme="minorHAnsi"/>
          <w:color w:val="000000"/>
          <w:sz w:val="24"/>
          <w:szCs w:val="24"/>
        </w:rPr>
        <w:t xml:space="preserve">, the complaint can be </w:t>
      </w:r>
      <w:proofErr w:type="spellStart"/>
      <w:r w:rsidRPr="00202839">
        <w:rPr>
          <w:rFonts w:asciiTheme="majorHAnsi" w:hAnsiTheme="majorHAnsi" w:cstheme="minorHAnsi"/>
          <w:color w:val="000000"/>
          <w:sz w:val="24"/>
          <w:szCs w:val="24"/>
        </w:rPr>
        <w:t>prioritised</w:t>
      </w:r>
      <w:proofErr w:type="spellEnd"/>
      <w:r w:rsidRPr="00202839">
        <w:rPr>
          <w:rFonts w:asciiTheme="majorHAnsi" w:hAnsiTheme="majorHAnsi" w:cstheme="minorHAnsi"/>
          <w:color w:val="000000"/>
          <w:sz w:val="24"/>
          <w:szCs w:val="24"/>
        </w:rPr>
        <w:t xml:space="preserve"> based on risk and assigned to the most appropriate institution or individual to address it. For example, claims relating to land may be referred to an existing land claims court if this has been identified as a credible institution for resolving these disputes.  The process of assigning cases is generally more successful when it is done with the agreement of the user.</w:t>
      </w:r>
    </w:p>
    <w:p w:rsidR="00746BCD" w:rsidRDefault="00746BCD" w:rsidP="00746BCD">
      <w:pPr>
        <w:spacing w:after="0" w:line="240" w:lineRule="auto"/>
        <w:contextualSpacing/>
        <w:jc w:val="both"/>
        <w:rPr>
          <w:rFonts w:asciiTheme="majorHAnsi" w:hAnsiTheme="majorHAnsi" w:cstheme="minorHAnsi"/>
          <w:b/>
          <w:color w:val="000000"/>
          <w:sz w:val="24"/>
          <w:szCs w:val="24"/>
        </w:rPr>
      </w:pPr>
    </w:p>
    <w:p w:rsidR="00746BCD" w:rsidRPr="00202839" w:rsidRDefault="00746BCD" w:rsidP="00746BCD">
      <w:pPr>
        <w:spacing w:after="0" w:line="240" w:lineRule="auto"/>
        <w:contextualSpacing/>
        <w:jc w:val="both"/>
        <w:rPr>
          <w:rFonts w:asciiTheme="majorHAnsi" w:hAnsiTheme="majorHAnsi" w:cstheme="minorHAnsi"/>
          <w:color w:val="000000"/>
          <w:sz w:val="24"/>
          <w:szCs w:val="24"/>
        </w:rPr>
      </w:pPr>
      <w:proofErr w:type="gramStart"/>
      <w:r w:rsidRPr="0065750F">
        <w:rPr>
          <w:rFonts w:asciiTheme="majorHAnsi" w:hAnsiTheme="majorHAnsi" w:cstheme="minorHAnsi"/>
          <w:color w:val="000000"/>
          <w:sz w:val="24"/>
          <w:szCs w:val="24"/>
          <w:u w:val="single"/>
        </w:rPr>
        <w:t>Appeals.</w:t>
      </w:r>
      <w:proofErr w:type="gramEnd"/>
      <w:r w:rsidRPr="00202839">
        <w:rPr>
          <w:rFonts w:asciiTheme="majorHAnsi" w:hAnsiTheme="majorHAnsi" w:cstheme="minorHAnsi"/>
          <w:color w:val="000000"/>
          <w:sz w:val="24"/>
          <w:szCs w:val="24"/>
        </w:rPr>
        <w:t xml:space="preserve"> Repeated complaints or appeals should be dealt with through a defined process. One approach is to refer appeals to the national courts or other suitable process. Alternatively, for sensitive and challenging cases, the mechanism may also convene a senior and independent panel to seek appropriate resolution of the case. This panel may also play the role of providing strategic oversight and assurance of the mechanism through reviewing monitoring and tracking data. </w:t>
      </w:r>
    </w:p>
    <w:p w:rsidR="00746BCD" w:rsidRDefault="00746BCD" w:rsidP="00746BCD">
      <w:pPr>
        <w:spacing w:after="0" w:line="240" w:lineRule="auto"/>
        <w:contextualSpacing/>
        <w:jc w:val="both"/>
        <w:rPr>
          <w:rFonts w:asciiTheme="majorHAnsi" w:hAnsiTheme="majorHAnsi" w:cstheme="minorHAnsi"/>
          <w:b/>
          <w:color w:val="000000"/>
          <w:sz w:val="24"/>
          <w:szCs w:val="24"/>
        </w:rPr>
      </w:pPr>
    </w:p>
    <w:p w:rsidR="00746BCD" w:rsidRPr="00202839" w:rsidRDefault="00746BCD" w:rsidP="00746BCD">
      <w:pPr>
        <w:spacing w:after="0" w:line="240" w:lineRule="auto"/>
        <w:contextualSpacing/>
        <w:jc w:val="both"/>
        <w:rPr>
          <w:rFonts w:asciiTheme="majorHAnsi" w:hAnsiTheme="majorHAnsi" w:cstheme="minorHAnsi"/>
          <w:color w:val="000000"/>
          <w:sz w:val="24"/>
          <w:szCs w:val="24"/>
        </w:rPr>
      </w:pPr>
      <w:r w:rsidRPr="0065750F">
        <w:rPr>
          <w:rFonts w:asciiTheme="majorHAnsi" w:hAnsiTheme="majorHAnsi" w:cstheme="minorHAnsi"/>
          <w:color w:val="000000"/>
          <w:sz w:val="24"/>
          <w:szCs w:val="24"/>
          <w:u w:val="single"/>
        </w:rPr>
        <w:t>Monitoring, tracking, and reporting on outcomes</w:t>
      </w:r>
      <w:r w:rsidRPr="00202839">
        <w:rPr>
          <w:rFonts w:asciiTheme="majorHAnsi" w:hAnsiTheme="majorHAnsi" w:cstheme="minorHAnsi"/>
          <w:color w:val="000000"/>
          <w:sz w:val="24"/>
          <w:szCs w:val="24"/>
        </w:rPr>
        <w:t xml:space="preserve"> </w:t>
      </w:r>
      <w:proofErr w:type="gramStart"/>
      <w:r w:rsidRPr="00202839">
        <w:rPr>
          <w:rFonts w:asciiTheme="majorHAnsi" w:hAnsiTheme="majorHAnsi" w:cstheme="minorHAnsi"/>
          <w:color w:val="000000"/>
          <w:sz w:val="24"/>
          <w:szCs w:val="24"/>
        </w:rPr>
        <w:t>is</w:t>
      </w:r>
      <w:proofErr w:type="gramEnd"/>
      <w:r w:rsidRPr="00202839">
        <w:rPr>
          <w:rFonts w:asciiTheme="majorHAnsi" w:hAnsiTheme="majorHAnsi" w:cstheme="minorHAnsi"/>
          <w:color w:val="000000"/>
          <w:sz w:val="24"/>
          <w:szCs w:val="24"/>
        </w:rPr>
        <w:t xml:space="preserve"> essential to promote credibility of the mechanism to users and to encourage feedback and organizational learning.  Systemic trends or repeated implementation weaknesses can be more quickly identified. </w:t>
      </w:r>
    </w:p>
    <w:p w:rsidR="009D36CD" w:rsidRDefault="000E5FD5" w:rsidP="0065750F">
      <w:pPr>
        <w:rPr>
          <w:rFonts w:asciiTheme="majorHAnsi" w:hAnsiTheme="majorHAnsi" w:cstheme="minorHAnsi"/>
          <w:sz w:val="24"/>
          <w:szCs w:val="24"/>
        </w:rPr>
      </w:pPr>
      <w:r>
        <w:rPr>
          <w:rFonts w:asciiTheme="majorHAnsi" w:hAnsiTheme="majorHAnsi" w:cstheme="minorHAnsi"/>
          <w:sz w:val="24"/>
          <w:szCs w:val="24"/>
        </w:rPr>
        <w:br w:type="page"/>
      </w:r>
    </w:p>
    <w:p w:rsidR="000E5FD5" w:rsidRPr="0065750F" w:rsidRDefault="000E5FD5" w:rsidP="0065750F">
      <w:pPr>
        <w:pStyle w:val="ListParagraph"/>
        <w:keepNext/>
        <w:numPr>
          <w:ilvl w:val="0"/>
          <w:numId w:val="3"/>
        </w:numPr>
        <w:spacing w:after="0" w:line="240" w:lineRule="auto"/>
        <w:jc w:val="both"/>
        <w:rPr>
          <w:rFonts w:asciiTheme="majorHAnsi" w:hAnsiTheme="majorHAnsi" w:cstheme="minorHAnsi"/>
          <w:sz w:val="24"/>
          <w:szCs w:val="24"/>
        </w:rPr>
      </w:pPr>
      <w:r>
        <w:rPr>
          <w:rFonts w:asciiTheme="majorHAnsi" w:hAnsiTheme="majorHAnsi" w:cstheme="minorHAnsi"/>
          <w:b/>
          <w:color w:val="000000"/>
          <w:sz w:val="24"/>
          <w:szCs w:val="24"/>
        </w:rPr>
        <w:lastRenderedPageBreak/>
        <w:t>Examples of Liberia and Mexico</w:t>
      </w:r>
    </w:p>
    <w:p w:rsidR="005A3AC7" w:rsidRPr="0065750F" w:rsidRDefault="00206DC5" w:rsidP="00636EA2">
      <w:pPr>
        <w:spacing w:after="0" w:line="240" w:lineRule="auto"/>
        <w:contextualSpacing/>
        <w:jc w:val="both"/>
        <w:rPr>
          <w:rFonts w:asciiTheme="majorHAnsi" w:hAnsiTheme="majorHAnsi" w:cstheme="minorHAnsi"/>
          <w:sz w:val="24"/>
          <w:szCs w:val="24"/>
        </w:rPr>
      </w:pPr>
      <w:r w:rsidRPr="0065750F">
        <w:rPr>
          <w:rFonts w:asciiTheme="majorHAnsi" w:hAnsiTheme="majorHAnsi" w:cstheme="minorHAnsi"/>
          <w:sz w:val="24"/>
          <w:szCs w:val="24"/>
        </w:rPr>
        <w:t xml:space="preserve">Liberia and Mexico </w:t>
      </w:r>
      <w:r>
        <w:rPr>
          <w:rFonts w:asciiTheme="majorHAnsi" w:hAnsiTheme="majorHAnsi" w:cstheme="minorHAnsi"/>
          <w:sz w:val="24"/>
          <w:szCs w:val="24"/>
        </w:rPr>
        <w:t xml:space="preserve">are two examples </w:t>
      </w:r>
      <w:r w:rsidR="00967259">
        <w:rPr>
          <w:rFonts w:asciiTheme="majorHAnsi" w:hAnsiTheme="majorHAnsi" w:cstheme="minorHAnsi"/>
          <w:sz w:val="24"/>
          <w:szCs w:val="24"/>
        </w:rPr>
        <w:t xml:space="preserve">where this approach – of integrating with and building on existing capacity – can work </w:t>
      </w:r>
      <w:r>
        <w:rPr>
          <w:rFonts w:asciiTheme="majorHAnsi" w:hAnsiTheme="majorHAnsi" w:cstheme="minorHAnsi"/>
          <w:sz w:val="24"/>
          <w:szCs w:val="24"/>
        </w:rPr>
        <w:t>in different contexts.</w:t>
      </w:r>
      <w:r w:rsidR="000E5FD5" w:rsidRPr="00206DC5">
        <w:rPr>
          <w:rFonts w:asciiTheme="majorHAnsi" w:hAnsiTheme="majorHAnsi" w:cstheme="minorHAnsi"/>
          <w:noProof/>
          <w:sz w:val="24"/>
          <w:szCs w:val="24"/>
          <w:lang w:eastAsia="en-US"/>
        </w:rPr>
        <mc:AlternateContent>
          <mc:Choice Requires="wps">
            <w:drawing>
              <wp:anchor distT="0" distB="0" distL="114300" distR="114300" simplePos="0" relativeHeight="251659264" behindDoc="0" locked="0" layoutInCell="0" allowOverlap="1" wp14:anchorId="1575B4A3" wp14:editId="5F9F9732">
                <wp:simplePos x="0" y="0"/>
                <wp:positionH relativeFrom="page">
                  <wp:posOffset>946785</wp:posOffset>
                </wp:positionH>
                <wp:positionV relativeFrom="page">
                  <wp:posOffset>1727200</wp:posOffset>
                </wp:positionV>
                <wp:extent cx="5642610" cy="3805555"/>
                <wp:effectExtent l="38100" t="38100" r="34290" b="4254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380555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26D8F" w:rsidRPr="00967259" w:rsidRDefault="00F26D8F">
                            <w:pPr>
                              <w:spacing w:after="0" w:line="360" w:lineRule="auto"/>
                              <w:jc w:val="center"/>
                              <w:rPr>
                                <w:rFonts w:asciiTheme="majorHAnsi" w:eastAsiaTheme="majorEastAsia" w:hAnsiTheme="majorHAnsi" w:cstheme="majorBidi"/>
                                <w:i/>
                                <w:iCs/>
                                <w:sz w:val="28"/>
                                <w:szCs w:val="28"/>
                              </w:rPr>
                            </w:pPr>
                            <w:r w:rsidRPr="00967259">
                              <w:rPr>
                                <w:rFonts w:asciiTheme="majorHAnsi" w:eastAsiaTheme="majorEastAsia" w:hAnsiTheme="majorHAnsi" w:cstheme="majorBidi"/>
                                <w:i/>
                                <w:iCs/>
                                <w:sz w:val="28"/>
                                <w:szCs w:val="28"/>
                              </w:rPr>
                              <w:t>Liberia</w:t>
                            </w:r>
                          </w:p>
                          <w:p w:rsidR="00F26D8F" w:rsidRPr="0065750F" w:rsidRDefault="00F26D8F" w:rsidP="0065750F">
                            <w:pPr>
                              <w:spacing w:after="0" w:line="240" w:lineRule="auto"/>
                              <w:rPr>
                                <w:rFonts w:eastAsia="Times New Roman" w:cstheme="minorHAnsi"/>
                                <w:bCs/>
                                <w:iCs/>
                                <w:sz w:val="20"/>
                                <w:szCs w:val="24"/>
                              </w:rPr>
                            </w:pPr>
                            <w:r w:rsidRPr="0065750F">
                              <w:rPr>
                                <w:rFonts w:eastAsia="Times New Roman" w:cstheme="minorHAnsi"/>
                                <w:bCs/>
                                <w:iCs/>
                                <w:sz w:val="20"/>
                                <w:szCs w:val="24"/>
                              </w:rPr>
                              <w:t xml:space="preserve">The REDD+ team looked early into </w:t>
                            </w:r>
                            <w:r w:rsidRPr="0065750F">
                              <w:rPr>
                                <w:rFonts w:eastAsia="Times New Roman" w:cstheme="minorHAnsi"/>
                                <w:bCs/>
                                <w:i/>
                                <w:iCs/>
                                <w:sz w:val="20"/>
                                <w:szCs w:val="24"/>
                                <w:u w:val="single"/>
                              </w:rPr>
                              <w:t>existing and potential risks</w:t>
                            </w:r>
                            <w:r w:rsidRPr="0065750F">
                              <w:rPr>
                                <w:rFonts w:eastAsia="Times New Roman" w:cstheme="minorHAnsi"/>
                                <w:bCs/>
                                <w:iCs/>
                                <w:sz w:val="20"/>
                                <w:szCs w:val="24"/>
                              </w:rPr>
                              <w:t xml:space="preserve"> related to land and forestry management and found:</w:t>
                            </w:r>
                          </w:p>
                          <w:p w:rsidR="00F26D8F" w:rsidRPr="0065750F" w:rsidRDefault="00F26D8F" w:rsidP="0065750F">
                            <w:pPr>
                              <w:pStyle w:val="ListParagraph"/>
                              <w:numPr>
                                <w:ilvl w:val="0"/>
                                <w:numId w:val="15"/>
                              </w:numPr>
                              <w:spacing w:after="0" w:line="240" w:lineRule="auto"/>
                              <w:rPr>
                                <w:rFonts w:eastAsia="Times New Roman" w:cstheme="minorHAnsi"/>
                                <w:bCs/>
                                <w:iCs/>
                                <w:sz w:val="20"/>
                                <w:szCs w:val="24"/>
                              </w:rPr>
                            </w:pPr>
                            <w:r w:rsidRPr="0065750F">
                              <w:rPr>
                                <w:rFonts w:eastAsia="Times New Roman" w:cstheme="minorHAnsi"/>
                                <w:bCs/>
                                <w:iCs/>
                                <w:sz w:val="20"/>
                                <w:szCs w:val="24"/>
                              </w:rPr>
                              <w:t>Overlapping and contested land claims</w:t>
                            </w:r>
                          </w:p>
                          <w:p w:rsidR="00F26D8F" w:rsidRPr="0065750F" w:rsidRDefault="00F26D8F" w:rsidP="0065750F">
                            <w:pPr>
                              <w:pStyle w:val="ListParagraph"/>
                              <w:numPr>
                                <w:ilvl w:val="0"/>
                                <w:numId w:val="15"/>
                              </w:numPr>
                              <w:spacing w:after="0" w:line="240" w:lineRule="auto"/>
                              <w:rPr>
                                <w:rFonts w:eastAsia="Times New Roman" w:cstheme="minorHAnsi"/>
                                <w:bCs/>
                                <w:iCs/>
                                <w:sz w:val="20"/>
                                <w:szCs w:val="24"/>
                              </w:rPr>
                            </w:pPr>
                            <w:r w:rsidRPr="0065750F">
                              <w:rPr>
                                <w:rFonts w:eastAsia="Times New Roman" w:cstheme="minorHAnsi"/>
                                <w:bCs/>
                                <w:iCs/>
                                <w:sz w:val="20"/>
                                <w:szCs w:val="24"/>
                              </w:rPr>
                              <w:t>Data availability and verification</w:t>
                            </w:r>
                          </w:p>
                          <w:p w:rsidR="00F26D8F" w:rsidRPr="0065750F" w:rsidRDefault="00F26D8F" w:rsidP="0065750F">
                            <w:pPr>
                              <w:pStyle w:val="ListParagraph"/>
                              <w:numPr>
                                <w:ilvl w:val="0"/>
                                <w:numId w:val="15"/>
                              </w:numPr>
                              <w:spacing w:after="0" w:line="240" w:lineRule="auto"/>
                              <w:rPr>
                                <w:rFonts w:eastAsia="Times New Roman" w:cstheme="minorHAnsi"/>
                                <w:bCs/>
                                <w:iCs/>
                                <w:sz w:val="20"/>
                                <w:szCs w:val="24"/>
                              </w:rPr>
                            </w:pPr>
                            <w:r w:rsidRPr="0065750F">
                              <w:rPr>
                                <w:rFonts w:eastAsia="Times New Roman" w:cstheme="minorHAnsi"/>
                                <w:bCs/>
                                <w:iCs/>
                                <w:sz w:val="20"/>
                                <w:szCs w:val="24"/>
                              </w:rPr>
                              <w:t>Ongoing land policy reforms</w:t>
                            </w:r>
                          </w:p>
                          <w:p w:rsidR="00F26D8F" w:rsidRPr="0065750F" w:rsidRDefault="00F26D8F" w:rsidP="0065750F">
                            <w:pPr>
                              <w:pStyle w:val="ListParagraph"/>
                              <w:numPr>
                                <w:ilvl w:val="0"/>
                                <w:numId w:val="15"/>
                              </w:numPr>
                              <w:spacing w:after="0" w:line="240" w:lineRule="auto"/>
                              <w:rPr>
                                <w:rFonts w:eastAsia="Times New Roman" w:cstheme="minorHAnsi"/>
                                <w:bCs/>
                                <w:iCs/>
                                <w:sz w:val="20"/>
                                <w:szCs w:val="24"/>
                              </w:rPr>
                            </w:pPr>
                            <w:r w:rsidRPr="0065750F">
                              <w:rPr>
                                <w:rFonts w:eastAsia="Times New Roman" w:cstheme="minorHAnsi"/>
                                <w:bCs/>
                                <w:iCs/>
                                <w:sz w:val="20"/>
                                <w:szCs w:val="24"/>
                              </w:rPr>
                              <w:t>Private Use Permits</w:t>
                            </w:r>
                          </w:p>
                          <w:p w:rsidR="00F26D8F" w:rsidRPr="0065750F" w:rsidRDefault="00F26D8F" w:rsidP="0065750F">
                            <w:pPr>
                              <w:pStyle w:val="ListParagraph"/>
                              <w:numPr>
                                <w:ilvl w:val="0"/>
                                <w:numId w:val="15"/>
                              </w:numPr>
                              <w:spacing w:after="0" w:line="240" w:lineRule="auto"/>
                              <w:rPr>
                                <w:rFonts w:eastAsia="Times New Roman" w:cstheme="minorHAnsi"/>
                                <w:bCs/>
                                <w:iCs/>
                                <w:sz w:val="20"/>
                                <w:szCs w:val="24"/>
                              </w:rPr>
                            </w:pPr>
                            <w:r w:rsidRPr="0065750F">
                              <w:rPr>
                                <w:rFonts w:eastAsia="Times New Roman" w:cstheme="minorHAnsi"/>
                                <w:bCs/>
                                <w:iCs/>
                                <w:sz w:val="20"/>
                                <w:szCs w:val="24"/>
                              </w:rPr>
                              <w:t>Past history of conflict</w:t>
                            </w:r>
                          </w:p>
                          <w:p w:rsidR="00F26D8F" w:rsidRPr="0065750F" w:rsidRDefault="00F26D8F" w:rsidP="0065750F">
                            <w:pPr>
                              <w:spacing w:after="0" w:line="240" w:lineRule="auto"/>
                              <w:rPr>
                                <w:rFonts w:eastAsia="Times New Roman" w:cstheme="minorHAnsi"/>
                                <w:sz w:val="20"/>
                                <w:szCs w:val="24"/>
                              </w:rPr>
                            </w:pPr>
                            <w:r w:rsidRPr="0065750F">
                              <w:rPr>
                                <w:rFonts w:eastAsia="Times New Roman" w:cstheme="minorHAnsi"/>
                                <w:sz w:val="20"/>
                                <w:szCs w:val="24"/>
                              </w:rPr>
                              <w:t xml:space="preserve">Next, they looked at what </w:t>
                            </w:r>
                            <w:r w:rsidRPr="0065750F">
                              <w:rPr>
                                <w:rFonts w:eastAsia="Times New Roman" w:cstheme="minorHAnsi"/>
                                <w:i/>
                                <w:sz w:val="20"/>
                                <w:szCs w:val="24"/>
                                <w:u w:val="single"/>
                              </w:rPr>
                              <w:t>institutions</w:t>
                            </w:r>
                            <w:r w:rsidRPr="0065750F">
                              <w:rPr>
                                <w:rFonts w:eastAsia="Times New Roman" w:cstheme="minorHAnsi"/>
                                <w:sz w:val="20"/>
                                <w:szCs w:val="24"/>
                              </w:rPr>
                              <w:t xml:space="preserve"> already exist in Liberia to address these risks. At the non-government level, these include:</w:t>
                            </w:r>
                          </w:p>
                          <w:p w:rsidR="00F26D8F" w:rsidRPr="0065750F" w:rsidRDefault="00F26D8F" w:rsidP="0065750F">
                            <w:pPr>
                              <w:pStyle w:val="ListParagraph"/>
                              <w:numPr>
                                <w:ilvl w:val="0"/>
                                <w:numId w:val="16"/>
                              </w:numPr>
                              <w:spacing w:after="0" w:line="240" w:lineRule="auto"/>
                              <w:rPr>
                                <w:rFonts w:eastAsia="Times New Roman" w:cstheme="minorHAnsi"/>
                                <w:sz w:val="20"/>
                                <w:szCs w:val="24"/>
                              </w:rPr>
                            </w:pPr>
                            <w:r w:rsidRPr="0065750F">
                              <w:rPr>
                                <w:rFonts w:eastAsia="Times New Roman" w:cstheme="minorHAnsi"/>
                                <w:sz w:val="20"/>
                                <w:szCs w:val="24"/>
                              </w:rPr>
                              <w:t>Traditional methods for resolving disputes (</w:t>
                            </w:r>
                            <w:proofErr w:type="spellStart"/>
                            <w:r w:rsidRPr="0065750F">
                              <w:rPr>
                                <w:rFonts w:eastAsia="Times New Roman" w:cstheme="minorHAnsi"/>
                                <w:sz w:val="20"/>
                                <w:szCs w:val="24"/>
                              </w:rPr>
                              <w:t>Palava</w:t>
                            </w:r>
                            <w:proofErr w:type="spellEnd"/>
                            <w:r w:rsidRPr="0065750F">
                              <w:rPr>
                                <w:rFonts w:eastAsia="Times New Roman" w:cstheme="minorHAnsi"/>
                                <w:sz w:val="20"/>
                                <w:szCs w:val="24"/>
                              </w:rPr>
                              <w:t>)</w:t>
                            </w:r>
                          </w:p>
                          <w:p w:rsidR="00F26D8F" w:rsidRPr="0065750F" w:rsidRDefault="00F26D8F" w:rsidP="0065750F">
                            <w:pPr>
                              <w:pStyle w:val="ListParagraph"/>
                              <w:numPr>
                                <w:ilvl w:val="0"/>
                                <w:numId w:val="16"/>
                              </w:numPr>
                              <w:spacing w:after="0" w:line="240" w:lineRule="auto"/>
                              <w:rPr>
                                <w:rFonts w:eastAsia="Times New Roman" w:cstheme="minorHAnsi"/>
                                <w:sz w:val="20"/>
                                <w:szCs w:val="24"/>
                              </w:rPr>
                            </w:pPr>
                            <w:r w:rsidRPr="0065750F">
                              <w:rPr>
                                <w:rFonts w:eastAsia="Times New Roman" w:cstheme="minorHAnsi"/>
                                <w:sz w:val="20"/>
                                <w:szCs w:val="24"/>
                              </w:rPr>
                              <w:t xml:space="preserve">Community Forestry Development Committees </w:t>
                            </w:r>
                          </w:p>
                          <w:p w:rsidR="00F26D8F" w:rsidRPr="0065750F" w:rsidRDefault="00F26D8F" w:rsidP="0065750F">
                            <w:pPr>
                              <w:pStyle w:val="ListParagraph"/>
                              <w:numPr>
                                <w:ilvl w:val="0"/>
                                <w:numId w:val="16"/>
                              </w:numPr>
                              <w:spacing w:after="0" w:line="240" w:lineRule="auto"/>
                              <w:rPr>
                                <w:rFonts w:eastAsia="Times New Roman" w:cstheme="minorHAnsi"/>
                                <w:sz w:val="20"/>
                                <w:szCs w:val="24"/>
                              </w:rPr>
                            </w:pPr>
                            <w:r w:rsidRPr="0065750F">
                              <w:rPr>
                                <w:rFonts w:eastAsia="Times New Roman" w:cstheme="minorHAnsi"/>
                                <w:sz w:val="20"/>
                                <w:szCs w:val="24"/>
                              </w:rPr>
                              <w:t>Local mediators (trained by Norwegian Refugee Council)</w:t>
                            </w:r>
                          </w:p>
                          <w:p w:rsidR="00F26D8F" w:rsidRPr="0065750F" w:rsidRDefault="00F26D8F" w:rsidP="0065750F">
                            <w:pPr>
                              <w:pStyle w:val="ListParagraph"/>
                              <w:numPr>
                                <w:ilvl w:val="0"/>
                                <w:numId w:val="16"/>
                              </w:numPr>
                              <w:spacing w:after="0" w:line="240" w:lineRule="auto"/>
                              <w:rPr>
                                <w:rFonts w:eastAsia="Times New Roman" w:cstheme="minorHAnsi"/>
                                <w:sz w:val="20"/>
                                <w:szCs w:val="24"/>
                              </w:rPr>
                            </w:pPr>
                            <w:r w:rsidRPr="0065750F">
                              <w:rPr>
                                <w:rFonts w:eastAsia="Times New Roman" w:cstheme="minorHAnsi"/>
                                <w:sz w:val="20"/>
                                <w:szCs w:val="24"/>
                              </w:rPr>
                              <w:t>Land Coordination Centers (in development)</w:t>
                            </w:r>
                          </w:p>
                          <w:p w:rsidR="00F26D8F" w:rsidRPr="0065750F" w:rsidRDefault="00F26D8F" w:rsidP="0065750F">
                            <w:pPr>
                              <w:spacing w:after="0" w:line="240" w:lineRule="auto"/>
                              <w:rPr>
                                <w:rFonts w:eastAsia="Times New Roman" w:cstheme="minorHAnsi"/>
                                <w:sz w:val="20"/>
                                <w:szCs w:val="24"/>
                              </w:rPr>
                            </w:pPr>
                            <w:r w:rsidRPr="0065750F">
                              <w:rPr>
                                <w:rFonts w:eastAsia="Times New Roman" w:cstheme="minorHAnsi"/>
                                <w:sz w:val="20"/>
                                <w:szCs w:val="24"/>
                              </w:rPr>
                              <w:t xml:space="preserve">The REDD+ team developed an </w:t>
                            </w:r>
                            <w:r w:rsidRPr="0065750F">
                              <w:rPr>
                                <w:rFonts w:eastAsia="Times New Roman" w:cstheme="minorHAnsi"/>
                                <w:i/>
                                <w:sz w:val="20"/>
                                <w:szCs w:val="24"/>
                                <w:u w:val="single"/>
                              </w:rPr>
                              <w:t>action plan</w:t>
                            </w:r>
                            <w:r w:rsidRPr="0065750F">
                              <w:rPr>
                                <w:rFonts w:eastAsia="Times New Roman" w:cstheme="minorHAnsi"/>
                                <w:sz w:val="20"/>
                                <w:szCs w:val="24"/>
                              </w:rPr>
                              <w:t xml:space="preserve"> to:</w:t>
                            </w:r>
                          </w:p>
                          <w:p w:rsidR="00F26D8F" w:rsidRPr="0065750F" w:rsidRDefault="00F26D8F" w:rsidP="0065750F">
                            <w:pPr>
                              <w:pStyle w:val="ListParagraph"/>
                              <w:numPr>
                                <w:ilvl w:val="0"/>
                                <w:numId w:val="17"/>
                              </w:numPr>
                              <w:spacing w:after="0" w:line="240" w:lineRule="auto"/>
                              <w:rPr>
                                <w:rFonts w:eastAsia="Times New Roman" w:cstheme="minorHAnsi"/>
                                <w:sz w:val="20"/>
                                <w:szCs w:val="24"/>
                              </w:rPr>
                            </w:pPr>
                            <w:r w:rsidRPr="0065750F">
                              <w:rPr>
                                <w:rFonts w:eastAsia="Times New Roman" w:cstheme="minorHAnsi"/>
                                <w:sz w:val="20"/>
                                <w:szCs w:val="24"/>
                              </w:rPr>
                              <w:t>Embed grievance into the existing FCPF system by adding grievance responsibilities to the TORs for the SESA and REDD+ Coordinators;</w:t>
                            </w:r>
                          </w:p>
                          <w:p w:rsidR="00F26D8F" w:rsidRPr="0065750F" w:rsidRDefault="00F26D8F" w:rsidP="0065750F">
                            <w:pPr>
                              <w:pStyle w:val="ListParagraph"/>
                              <w:numPr>
                                <w:ilvl w:val="0"/>
                                <w:numId w:val="17"/>
                              </w:numPr>
                              <w:spacing w:after="0" w:line="240" w:lineRule="auto"/>
                              <w:rPr>
                                <w:rFonts w:eastAsia="Times New Roman" w:cstheme="minorHAnsi"/>
                                <w:sz w:val="20"/>
                                <w:szCs w:val="24"/>
                              </w:rPr>
                            </w:pPr>
                            <w:r w:rsidRPr="0065750F">
                              <w:rPr>
                                <w:rFonts w:eastAsia="Times New Roman" w:cstheme="minorHAnsi"/>
                                <w:sz w:val="20"/>
                                <w:szCs w:val="24"/>
                              </w:rPr>
                              <w:t>Mandate the national steering committee or the REDD+ Technical Working Group with handling more serious grievances;</w:t>
                            </w:r>
                          </w:p>
                          <w:p w:rsidR="00F26D8F" w:rsidRPr="0065750F" w:rsidRDefault="00F26D8F" w:rsidP="0065750F">
                            <w:pPr>
                              <w:pStyle w:val="ListParagraph"/>
                              <w:numPr>
                                <w:ilvl w:val="0"/>
                                <w:numId w:val="17"/>
                              </w:numPr>
                              <w:spacing w:after="0" w:line="240" w:lineRule="auto"/>
                              <w:rPr>
                                <w:rFonts w:eastAsia="Times New Roman" w:cstheme="minorHAnsi"/>
                                <w:sz w:val="20"/>
                                <w:szCs w:val="24"/>
                              </w:rPr>
                            </w:pPr>
                            <w:r w:rsidRPr="0065750F">
                              <w:rPr>
                                <w:rFonts w:eastAsia="Times New Roman" w:cstheme="minorHAnsi"/>
                                <w:sz w:val="20"/>
                                <w:szCs w:val="24"/>
                              </w:rPr>
                              <w:t>Commission a study to explore, together with national stakeholders, the development of a sustainable, sector-based grievance mechanism.</w:t>
                            </w:r>
                          </w:p>
                          <w:p w:rsidR="00F26D8F" w:rsidRPr="0065750F" w:rsidRDefault="00F26D8F" w:rsidP="00206DC5">
                            <w:pPr>
                              <w:spacing w:line="240" w:lineRule="auto"/>
                              <w:rPr>
                                <w:rFonts w:asciiTheme="majorHAnsi" w:eastAsia="Times New Roman" w:hAnsiTheme="majorHAnsi" w:cs="Times New Roman"/>
                                <w:sz w:val="24"/>
                                <w:szCs w:val="24"/>
                              </w:rPr>
                            </w:pPr>
                          </w:p>
                          <w:p w:rsidR="00F26D8F" w:rsidRPr="0065750F" w:rsidRDefault="00F26D8F">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55pt;margin-top:136pt;width:444.3pt;height:29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" o:allowincell="f" filled="f" strokecolor="#622423" strokeweight="6pt">
                <v:stroke linestyle="thickThin"/>
                <v:textbox inset="10.8pt,7.2pt,10.8pt,7.2pt">
                  <w:txbxContent>
                    <w:p w:rsidR="00F26D8F" w:rsidRPr="00967259" w:rsidRDefault="00F26D8F">
                      <w:pPr>
                        <w:spacing w:after="0" w:line="360" w:lineRule="auto"/>
                        <w:jc w:val="center"/>
                        <w:rPr>
                          <w:rFonts w:asciiTheme="majorHAnsi" w:eastAsiaTheme="majorEastAsia" w:hAnsiTheme="majorHAnsi" w:cstheme="majorBidi"/>
                          <w:i/>
                          <w:iCs/>
                          <w:sz w:val="28"/>
                          <w:szCs w:val="28"/>
                        </w:rPr>
                      </w:pPr>
                      <w:r w:rsidRPr="00967259">
                        <w:rPr>
                          <w:rFonts w:asciiTheme="majorHAnsi" w:eastAsiaTheme="majorEastAsia" w:hAnsiTheme="majorHAnsi" w:cstheme="majorBidi"/>
                          <w:i/>
                          <w:iCs/>
                          <w:sz w:val="28"/>
                          <w:szCs w:val="28"/>
                        </w:rPr>
                        <w:t>Liberia</w:t>
                      </w:r>
                    </w:p>
                    <w:p w:rsidR="00F26D8F" w:rsidRPr="0065750F" w:rsidRDefault="00F26D8F" w:rsidP="0065750F">
                      <w:pPr>
                        <w:spacing w:after="0" w:line="240" w:lineRule="auto"/>
                        <w:rPr>
                          <w:rFonts w:eastAsia="Times New Roman" w:cstheme="minorHAnsi"/>
                          <w:bCs/>
                          <w:iCs/>
                          <w:sz w:val="20"/>
                          <w:szCs w:val="24"/>
                        </w:rPr>
                      </w:pPr>
                      <w:r w:rsidRPr="0065750F">
                        <w:rPr>
                          <w:rFonts w:eastAsia="Times New Roman" w:cstheme="minorHAnsi"/>
                          <w:bCs/>
                          <w:iCs/>
                          <w:sz w:val="20"/>
                          <w:szCs w:val="24"/>
                        </w:rPr>
                        <w:t xml:space="preserve">The REDD+ team looked early into </w:t>
                      </w:r>
                      <w:r w:rsidRPr="0065750F">
                        <w:rPr>
                          <w:rFonts w:eastAsia="Times New Roman" w:cstheme="minorHAnsi"/>
                          <w:bCs/>
                          <w:i/>
                          <w:iCs/>
                          <w:sz w:val="20"/>
                          <w:szCs w:val="24"/>
                          <w:u w:val="single"/>
                        </w:rPr>
                        <w:t>existing and potential risks</w:t>
                      </w:r>
                      <w:r w:rsidRPr="0065750F">
                        <w:rPr>
                          <w:rFonts w:eastAsia="Times New Roman" w:cstheme="minorHAnsi"/>
                          <w:bCs/>
                          <w:iCs/>
                          <w:sz w:val="20"/>
                          <w:szCs w:val="24"/>
                        </w:rPr>
                        <w:t xml:space="preserve"> related to land and forestry management and found:</w:t>
                      </w:r>
                    </w:p>
                    <w:p w:rsidR="00F26D8F" w:rsidRPr="0065750F" w:rsidRDefault="00F26D8F" w:rsidP="0065750F">
                      <w:pPr>
                        <w:pStyle w:val="ListParagraph"/>
                        <w:numPr>
                          <w:ilvl w:val="0"/>
                          <w:numId w:val="15"/>
                        </w:numPr>
                        <w:spacing w:after="0" w:line="240" w:lineRule="auto"/>
                        <w:rPr>
                          <w:rFonts w:eastAsia="Times New Roman" w:cstheme="minorHAnsi"/>
                          <w:bCs/>
                          <w:iCs/>
                          <w:sz w:val="20"/>
                          <w:szCs w:val="24"/>
                        </w:rPr>
                      </w:pPr>
                      <w:r w:rsidRPr="0065750F">
                        <w:rPr>
                          <w:rFonts w:eastAsia="Times New Roman" w:cstheme="minorHAnsi"/>
                          <w:bCs/>
                          <w:iCs/>
                          <w:sz w:val="20"/>
                          <w:szCs w:val="24"/>
                        </w:rPr>
                        <w:t>Overlapping and contested land claims</w:t>
                      </w:r>
                    </w:p>
                    <w:p w:rsidR="00F26D8F" w:rsidRPr="0065750F" w:rsidRDefault="00F26D8F" w:rsidP="0065750F">
                      <w:pPr>
                        <w:pStyle w:val="ListParagraph"/>
                        <w:numPr>
                          <w:ilvl w:val="0"/>
                          <w:numId w:val="15"/>
                        </w:numPr>
                        <w:spacing w:after="0" w:line="240" w:lineRule="auto"/>
                        <w:rPr>
                          <w:rFonts w:eastAsia="Times New Roman" w:cstheme="minorHAnsi"/>
                          <w:bCs/>
                          <w:iCs/>
                          <w:sz w:val="20"/>
                          <w:szCs w:val="24"/>
                        </w:rPr>
                      </w:pPr>
                      <w:r w:rsidRPr="0065750F">
                        <w:rPr>
                          <w:rFonts w:eastAsia="Times New Roman" w:cstheme="minorHAnsi"/>
                          <w:bCs/>
                          <w:iCs/>
                          <w:sz w:val="20"/>
                          <w:szCs w:val="24"/>
                        </w:rPr>
                        <w:t>Data availability and verification</w:t>
                      </w:r>
                    </w:p>
                    <w:p w:rsidR="00F26D8F" w:rsidRPr="0065750F" w:rsidRDefault="00F26D8F" w:rsidP="0065750F">
                      <w:pPr>
                        <w:pStyle w:val="ListParagraph"/>
                        <w:numPr>
                          <w:ilvl w:val="0"/>
                          <w:numId w:val="15"/>
                        </w:numPr>
                        <w:spacing w:after="0" w:line="240" w:lineRule="auto"/>
                        <w:rPr>
                          <w:rFonts w:eastAsia="Times New Roman" w:cstheme="minorHAnsi"/>
                          <w:bCs/>
                          <w:iCs/>
                          <w:sz w:val="20"/>
                          <w:szCs w:val="24"/>
                        </w:rPr>
                      </w:pPr>
                      <w:r w:rsidRPr="0065750F">
                        <w:rPr>
                          <w:rFonts w:eastAsia="Times New Roman" w:cstheme="minorHAnsi"/>
                          <w:bCs/>
                          <w:iCs/>
                          <w:sz w:val="20"/>
                          <w:szCs w:val="24"/>
                        </w:rPr>
                        <w:t>Ongoing land policy reforms</w:t>
                      </w:r>
                    </w:p>
                    <w:p w:rsidR="00F26D8F" w:rsidRPr="0065750F" w:rsidRDefault="00F26D8F" w:rsidP="0065750F">
                      <w:pPr>
                        <w:pStyle w:val="ListParagraph"/>
                        <w:numPr>
                          <w:ilvl w:val="0"/>
                          <w:numId w:val="15"/>
                        </w:numPr>
                        <w:spacing w:after="0" w:line="240" w:lineRule="auto"/>
                        <w:rPr>
                          <w:rFonts w:eastAsia="Times New Roman" w:cstheme="minorHAnsi"/>
                          <w:bCs/>
                          <w:iCs/>
                          <w:sz w:val="20"/>
                          <w:szCs w:val="24"/>
                        </w:rPr>
                      </w:pPr>
                      <w:r w:rsidRPr="0065750F">
                        <w:rPr>
                          <w:rFonts w:eastAsia="Times New Roman" w:cstheme="minorHAnsi"/>
                          <w:bCs/>
                          <w:iCs/>
                          <w:sz w:val="20"/>
                          <w:szCs w:val="24"/>
                        </w:rPr>
                        <w:t>Private Use Permits</w:t>
                      </w:r>
                    </w:p>
                    <w:p w:rsidR="00F26D8F" w:rsidRPr="0065750F" w:rsidRDefault="00F26D8F" w:rsidP="0065750F">
                      <w:pPr>
                        <w:pStyle w:val="ListParagraph"/>
                        <w:numPr>
                          <w:ilvl w:val="0"/>
                          <w:numId w:val="15"/>
                        </w:numPr>
                        <w:spacing w:after="0" w:line="240" w:lineRule="auto"/>
                        <w:rPr>
                          <w:rFonts w:eastAsia="Times New Roman" w:cstheme="minorHAnsi"/>
                          <w:bCs/>
                          <w:iCs/>
                          <w:sz w:val="20"/>
                          <w:szCs w:val="24"/>
                        </w:rPr>
                      </w:pPr>
                      <w:r w:rsidRPr="0065750F">
                        <w:rPr>
                          <w:rFonts w:eastAsia="Times New Roman" w:cstheme="minorHAnsi"/>
                          <w:bCs/>
                          <w:iCs/>
                          <w:sz w:val="20"/>
                          <w:szCs w:val="24"/>
                        </w:rPr>
                        <w:t>Past history of conflict</w:t>
                      </w:r>
                    </w:p>
                    <w:p w:rsidR="00F26D8F" w:rsidRPr="0065750F" w:rsidRDefault="00F26D8F" w:rsidP="0065750F">
                      <w:pPr>
                        <w:spacing w:after="0" w:line="240" w:lineRule="auto"/>
                        <w:rPr>
                          <w:rFonts w:eastAsia="Times New Roman" w:cstheme="minorHAnsi"/>
                          <w:sz w:val="20"/>
                          <w:szCs w:val="24"/>
                        </w:rPr>
                      </w:pPr>
                      <w:r w:rsidRPr="0065750F">
                        <w:rPr>
                          <w:rFonts w:eastAsia="Times New Roman" w:cstheme="minorHAnsi"/>
                          <w:sz w:val="20"/>
                          <w:szCs w:val="24"/>
                        </w:rPr>
                        <w:t xml:space="preserve">Next, they looked at what </w:t>
                      </w:r>
                      <w:r w:rsidRPr="0065750F">
                        <w:rPr>
                          <w:rFonts w:eastAsia="Times New Roman" w:cstheme="minorHAnsi"/>
                          <w:i/>
                          <w:sz w:val="20"/>
                          <w:szCs w:val="24"/>
                          <w:u w:val="single"/>
                        </w:rPr>
                        <w:t>institutions</w:t>
                      </w:r>
                      <w:r w:rsidRPr="0065750F">
                        <w:rPr>
                          <w:rFonts w:eastAsia="Times New Roman" w:cstheme="minorHAnsi"/>
                          <w:sz w:val="20"/>
                          <w:szCs w:val="24"/>
                        </w:rPr>
                        <w:t xml:space="preserve"> already exist in Liberia to address these risks. At the non-government level, these include:</w:t>
                      </w:r>
                    </w:p>
                    <w:p w:rsidR="00F26D8F" w:rsidRPr="0065750F" w:rsidRDefault="00F26D8F" w:rsidP="0065750F">
                      <w:pPr>
                        <w:pStyle w:val="ListParagraph"/>
                        <w:numPr>
                          <w:ilvl w:val="0"/>
                          <w:numId w:val="16"/>
                        </w:numPr>
                        <w:spacing w:after="0" w:line="240" w:lineRule="auto"/>
                        <w:rPr>
                          <w:rFonts w:eastAsia="Times New Roman" w:cstheme="minorHAnsi"/>
                          <w:sz w:val="20"/>
                          <w:szCs w:val="24"/>
                        </w:rPr>
                      </w:pPr>
                      <w:r w:rsidRPr="0065750F">
                        <w:rPr>
                          <w:rFonts w:eastAsia="Times New Roman" w:cstheme="minorHAnsi"/>
                          <w:sz w:val="20"/>
                          <w:szCs w:val="24"/>
                        </w:rPr>
                        <w:t>Traditional methods for resolving disputes (</w:t>
                      </w:r>
                      <w:proofErr w:type="spellStart"/>
                      <w:r w:rsidRPr="0065750F">
                        <w:rPr>
                          <w:rFonts w:eastAsia="Times New Roman" w:cstheme="minorHAnsi"/>
                          <w:sz w:val="20"/>
                          <w:szCs w:val="24"/>
                        </w:rPr>
                        <w:t>Palava</w:t>
                      </w:r>
                      <w:proofErr w:type="spellEnd"/>
                      <w:r w:rsidRPr="0065750F">
                        <w:rPr>
                          <w:rFonts w:eastAsia="Times New Roman" w:cstheme="minorHAnsi"/>
                          <w:sz w:val="20"/>
                          <w:szCs w:val="24"/>
                        </w:rPr>
                        <w:t>)</w:t>
                      </w:r>
                    </w:p>
                    <w:p w:rsidR="00F26D8F" w:rsidRPr="0065750F" w:rsidRDefault="00F26D8F" w:rsidP="0065750F">
                      <w:pPr>
                        <w:pStyle w:val="ListParagraph"/>
                        <w:numPr>
                          <w:ilvl w:val="0"/>
                          <w:numId w:val="16"/>
                        </w:numPr>
                        <w:spacing w:after="0" w:line="240" w:lineRule="auto"/>
                        <w:rPr>
                          <w:rFonts w:eastAsia="Times New Roman" w:cstheme="minorHAnsi"/>
                          <w:sz w:val="20"/>
                          <w:szCs w:val="24"/>
                        </w:rPr>
                      </w:pPr>
                      <w:r w:rsidRPr="0065750F">
                        <w:rPr>
                          <w:rFonts w:eastAsia="Times New Roman" w:cstheme="minorHAnsi"/>
                          <w:sz w:val="20"/>
                          <w:szCs w:val="24"/>
                        </w:rPr>
                        <w:t xml:space="preserve">Community Forestry Development Committees </w:t>
                      </w:r>
                    </w:p>
                    <w:p w:rsidR="00F26D8F" w:rsidRPr="0065750F" w:rsidRDefault="00F26D8F" w:rsidP="0065750F">
                      <w:pPr>
                        <w:pStyle w:val="ListParagraph"/>
                        <w:numPr>
                          <w:ilvl w:val="0"/>
                          <w:numId w:val="16"/>
                        </w:numPr>
                        <w:spacing w:after="0" w:line="240" w:lineRule="auto"/>
                        <w:rPr>
                          <w:rFonts w:eastAsia="Times New Roman" w:cstheme="minorHAnsi"/>
                          <w:sz w:val="20"/>
                          <w:szCs w:val="24"/>
                        </w:rPr>
                      </w:pPr>
                      <w:r w:rsidRPr="0065750F">
                        <w:rPr>
                          <w:rFonts w:eastAsia="Times New Roman" w:cstheme="minorHAnsi"/>
                          <w:sz w:val="20"/>
                          <w:szCs w:val="24"/>
                        </w:rPr>
                        <w:t>Local mediators (trained by Norwegian Refugee Council)</w:t>
                      </w:r>
                    </w:p>
                    <w:p w:rsidR="00F26D8F" w:rsidRPr="0065750F" w:rsidRDefault="00F26D8F" w:rsidP="0065750F">
                      <w:pPr>
                        <w:pStyle w:val="ListParagraph"/>
                        <w:numPr>
                          <w:ilvl w:val="0"/>
                          <w:numId w:val="16"/>
                        </w:numPr>
                        <w:spacing w:after="0" w:line="240" w:lineRule="auto"/>
                        <w:rPr>
                          <w:rFonts w:eastAsia="Times New Roman" w:cstheme="minorHAnsi"/>
                          <w:sz w:val="20"/>
                          <w:szCs w:val="24"/>
                        </w:rPr>
                      </w:pPr>
                      <w:r w:rsidRPr="0065750F">
                        <w:rPr>
                          <w:rFonts w:eastAsia="Times New Roman" w:cstheme="minorHAnsi"/>
                          <w:sz w:val="20"/>
                          <w:szCs w:val="24"/>
                        </w:rPr>
                        <w:t>Land Coordination Centers (in development)</w:t>
                      </w:r>
                    </w:p>
                    <w:p w:rsidR="00F26D8F" w:rsidRPr="0065750F" w:rsidRDefault="00F26D8F" w:rsidP="0065750F">
                      <w:pPr>
                        <w:spacing w:after="0" w:line="240" w:lineRule="auto"/>
                        <w:rPr>
                          <w:rFonts w:eastAsia="Times New Roman" w:cstheme="minorHAnsi"/>
                          <w:sz w:val="20"/>
                          <w:szCs w:val="24"/>
                        </w:rPr>
                      </w:pPr>
                      <w:r w:rsidRPr="0065750F">
                        <w:rPr>
                          <w:rFonts w:eastAsia="Times New Roman" w:cstheme="minorHAnsi"/>
                          <w:sz w:val="20"/>
                          <w:szCs w:val="24"/>
                        </w:rPr>
                        <w:t xml:space="preserve">The REDD+ team developed an </w:t>
                      </w:r>
                      <w:r w:rsidRPr="0065750F">
                        <w:rPr>
                          <w:rFonts w:eastAsia="Times New Roman" w:cstheme="minorHAnsi"/>
                          <w:i/>
                          <w:sz w:val="20"/>
                          <w:szCs w:val="24"/>
                          <w:u w:val="single"/>
                        </w:rPr>
                        <w:t>action plan</w:t>
                      </w:r>
                      <w:r w:rsidRPr="0065750F">
                        <w:rPr>
                          <w:rFonts w:eastAsia="Times New Roman" w:cstheme="minorHAnsi"/>
                          <w:sz w:val="20"/>
                          <w:szCs w:val="24"/>
                        </w:rPr>
                        <w:t xml:space="preserve"> to:</w:t>
                      </w:r>
                    </w:p>
                    <w:p w:rsidR="00F26D8F" w:rsidRPr="0065750F" w:rsidRDefault="00F26D8F" w:rsidP="0065750F">
                      <w:pPr>
                        <w:pStyle w:val="ListParagraph"/>
                        <w:numPr>
                          <w:ilvl w:val="0"/>
                          <w:numId w:val="17"/>
                        </w:numPr>
                        <w:spacing w:after="0" w:line="240" w:lineRule="auto"/>
                        <w:rPr>
                          <w:rFonts w:eastAsia="Times New Roman" w:cstheme="minorHAnsi"/>
                          <w:sz w:val="20"/>
                          <w:szCs w:val="24"/>
                        </w:rPr>
                      </w:pPr>
                      <w:r w:rsidRPr="0065750F">
                        <w:rPr>
                          <w:rFonts w:eastAsia="Times New Roman" w:cstheme="minorHAnsi"/>
                          <w:sz w:val="20"/>
                          <w:szCs w:val="24"/>
                        </w:rPr>
                        <w:t>Embed grievance into the existing FCPF system by adding grievance responsibilities to the TORs for the SESA and REDD+ Coordinators;</w:t>
                      </w:r>
                    </w:p>
                    <w:p w:rsidR="00F26D8F" w:rsidRPr="0065750F" w:rsidRDefault="00F26D8F" w:rsidP="0065750F">
                      <w:pPr>
                        <w:pStyle w:val="ListParagraph"/>
                        <w:numPr>
                          <w:ilvl w:val="0"/>
                          <w:numId w:val="17"/>
                        </w:numPr>
                        <w:spacing w:after="0" w:line="240" w:lineRule="auto"/>
                        <w:rPr>
                          <w:rFonts w:eastAsia="Times New Roman" w:cstheme="minorHAnsi"/>
                          <w:sz w:val="20"/>
                          <w:szCs w:val="24"/>
                        </w:rPr>
                      </w:pPr>
                      <w:r w:rsidRPr="0065750F">
                        <w:rPr>
                          <w:rFonts w:eastAsia="Times New Roman" w:cstheme="minorHAnsi"/>
                          <w:sz w:val="20"/>
                          <w:szCs w:val="24"/>
                        </w:rPr>
                        <w:t>Mandate the national steering committee or the REDD+ Technical Working Group with handling more serious grievances;</w:t>
                      </w:r>
                    </w:p>
                    <w:p w:rsidR="00F26D8F" w:rsidRPr="0065750F" w:rsidRDefault="00F26D8F" w:rsidP="0065750F">
                      <w:pPr>
                        <w:pStyle w:val="ListParagraph"/>
                        <w:numPr>
                          <w:ilvl w:val="0"/>
                          <w:numId w:val="17"/>
                        </w:numPr>
                        <w:spacing w:after="0" w:line="240" w:lineRule="auto"/>
                        <w:rPr>
                          <w:rFonts w:eastAsia="Times New Roman" w:cstheme="minorHAnsi"/>
                          <w:sz w:val="20"/>
                          <w:szCs w:val="24"/>
                        </w:rPr>
                      </w:pPr>
                      <w:r w:rsidRPr="0065750F">
                        <w:rPr>
                          <w:rFonts w:eastAsia="Times New Roman" w:cstheme="minorHAnsi"/>
                          <w:sz w:val="20"/>
                          <w:szCs w:val="24"/>
                        </w:rPr>
                        <w:t>Commission a study to explore, together with national stakeholders, the development of a sustainable, sector-based grievance mechanism.</w:t>
                      </w:r>
                    </w:p>
                    <w:p w:rsidR="00F26D8F" w:rsidRPr="0065750F" w:rsidRDefault="00F26D8F" w:rsidP="00206DC5">
                      <w:pPr>
                        <w:spacing w:line="240" w:lineRule="auto"/>
                        <w:rPr>
                          <w:rFonts w:asciiTheme="majorHAnsi" w:eastAsia="Times New Roman" w:hAnsiTheme="majorHAnsi" w:cs="Times New Roman"/>
                          <w:sz w:val="24"/>
                          <w:szCs w:val="24"/>
                        </w:rPr>
                      </w:pPr>
                    </w:p>
                    <w:p w:rsidR="00F26D8F" w:rsidRPr="0065750F" w:rsidRDefault="00F26D8F">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CE0F4D" w:rsidRPr="00967259">
        <w:rPr>
          <w:rFonts w:asciiTheme="majorHAnsi" w:hAnsiTheme="majorHAnsi" w:cstheme="minorHAnsi"/>
          <w:noProof/>
          <w:sz w:val="24"/>
          <w:szCs w:val="24"/>
          <w:lang w:eastAsia="en-US"/>
        </w:rPr>
        <mc:AlternateContent>
          <mc:Choice Requires="wps">
            <w:drawing>
              <wp:anchor distT="0" distB="0" distL="114300" distR="114300" simplePos="0" relativeHeight="251661312" behindDoc="0" locked="0" layoutInCell="0" allowOverlap="1" wp14:anchorId="08784C08" wp14:editId="0A0993D8">
                <wp:simplePos x="0" y="0"/>
                <wp:positionH relativeFrom="page">
                  <wp:posOffset>955040</wp:posOffset>
                </wp:positionH>
                <wp:positionV relativeFrom="page">
                  <wp:posOffset>5737860</wp:posOffset>
                </wp:positionV>
                <wp:extent cx="5641975" cy="4390390"/>
                <wp:effectExtent l="38100" t="38100" r="34925" b="292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439039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26D8F" w:rsidRDefault="00F26D8F" w:rsidP="0065750F">
                            <w:pPr>
                              <w:spacing w:after="0" w:line="240" w:lineRule="auto"/>
                              <w:jc w:val="center"/>
                              <w:rPr>
                                <w:rFonts w:asciiTheme="majorHAnsi" w:eastAsiaTheme="majorEastAsia" w:hAnsiTheme="majorHAnsi" w:cstheme="minorHAnsi"/>
                                <w:i/>
                                <w:iCs/>
                                <w:sz w:val="28"/>
                                <w:szCs w:val="28"/>
                              </w:rPr>
                            </w:pPr>
                            <w:r w:rsidRPr="0065750F">
                              <w:rPr>
                                <w:rFonts w:asciiTheme="majorHAnsi" w:eastAsiaTheme="majorEastAsia" w:hAnsiTheme="majorHAnsi" w:cstheme="minorHAnsi"/>
                                <w:i/>
                                <w:iCs/>
                                <w:sz w:val="28"/>
                                <w:szCs w:val="28"/>
                              </w:rPr>
                              <w:t>Mexico</w:t>
                            </w:r>
                          </w:p>
                          <w:p w:rsidR="00F26D8F" w:rsidRPr="0065750F" w:rsidRDefault="00F26D8F" w:rsidP="0065750F">
                            <w:pPr>
                              <w:spacing w:after="0" w:line="240" w:lineRule="auto"/>
                              <w:jc w:val="center"/>
                              <w:rPr>
                                <w:rFonts w:asciiTheme="majorHAnsi" w:eastAsiaTheme="majorEastAsia" w:hAnsiTheme="majorHAnsi" w:cstheme="minorHAnsi"/>
                                <w:i/>
                                <w:iCs/>
                                <w:sz w:val="28"/>
                                <w:szCs w:val="28"/>
                              </w:rPr>
                            </w:pPr>
                          </w:p>
                          <w:p w:rsidR="00F26D8F" w:rsidRDefault="00F26D8F" w:rsidP="0065750F">
                            <w:pPr>
                              <w:spacing w:after="0"/>
                              <w:rPr>
                                <w:rFonts w:eastAsiaTheme="majorEastAsia" w:cstheme="minorHAnsi"/>
                                <w:iCs/>
                                <w:sz w:val="20"/>
                                <w:szCs w:val="28"/>
                              </w:rPr>
                            </w:pPr>
                            <w:r>
                              <w:rPr>
                                <w:rFonts w:eastAsiaTheme="majorEastAsia" w:cstheme="minorHAnsi"/>
                                <w:iCs/>
                                <w:sz w:val="20"/>
                                <w:szCs w:val="28"/>
                              </w:rPr>
                              <w:t xml:space="preserve">Mexico wanted to ensure it had a functioning grievance mechanism in place during the FCPF consultation phase, versus building a GRM that would only function once carbon funds were flowing. Thus their </w:t>
                            </w:r>
                            <w:r w:rsidRPr="0065750F">
                              <w:rPr>
                                <w:rFonts w:eastAsiaTheme="majorEastAsia" w:cstheme="minorHAnsi"/>
                                <w:i/>
                                <w:iCs/>
                                <w:sz w:val="20"/>
                                <w:szCs w:val="28"/>
                                <w:u w:val="single"/>
                              </w:rPr>
                              <w:t>risk assessment</w:t>
                            </w:r>
                            <w:r>
                              <w:rPr>
                                <w:rFonts w:eastAsiaTheme="majorEastAsia" w:cstheme="minorHAnsi"/>
                                <w:iCs/>
                                <w:sz w:val="20"/>
                                <w:szCs w:val="28"/>
                              </w:rPr>
                              <w:t xml:space="preserve"> carefully distinguished between the types of risks likely to arise in each phase (i.e. Readiness and Implementation, or carbon finance). The next step was to map out existing capacity. Their </w:t>
                            </w:r>
                            <w:r w:rsidRPr="0065750F">
                              <w:rPr>
                                <w:rFonts w:eastAsiaTheme="majorEastAsia" w:cstheme="minorHAnsi"/>
                                <w:i/>
                                <w:iCs/>
                                <w:sz w:val="20"/>
                                <w:szCs w:val="28"/>
                                <w:u w:val="single"/>
                              </w:rPr>
                              <w:t>capacity assessment</w:t>
                            </w:r>
                            <w:r>
                              <w:rPr>
                                <w:rFonts w:eastAsiaTheme="majorEastAsia" w:cstheme="minorHAnsi"/>
                                <w:iCs/>
                                <w:sz w:val="20"/>
                                <w:szCs w:val="28"/>
                              </w:rPr>
                              <w:t xml:space="preserve"> found three different entities within the national forest agency that handled grievances:</w:t>
                            </w:r>
                          </w:p>
                          <w:p w:rsidR="00F26D8F" w:rsidRDefault="00F26D8F" w:rsidP="0065750F">
                            <w:pPr>
                              <w:pStyle w:val="ListParagraph"/>
                              <w:numPr>
                                <w:ilvl w:val="0"/>
                                <w:numId w:val="18"/>
                              </w:numPr>
                              <w:spacing w:after="0"/>
                              <w:rPr>
                                <w:rFonts w:eastAsiaTheme="majorEastAsia" w:cstheme="minorHAnsi"/>
                                <w:iCs/>
                                <w:sz w:val="20"/>
                                <w:szCs w:val="28"/>
                              </w:rPr>
                            </w:pPr>
                            <w:r>
                              <w:rPr>
                                <w:rFonts w:eastAsiaTheme="majorEastAsia" w:cstheme="minorHAnsi"/>
                                <w:iCs/>
                                <w:sz w:val="20"/>
                                <w:szCs w:val="28"/>
                              </w:rPr>
                              <w:t>o</w:t>
                            </w:r>
                            <w:r w:rsidRPr="005B76A8">
                              <w:rPr>
                                <w:rFonts w:eastAsiaTheme="majorEastAsia" w:cstheme="minorHAnsi"/>
                                <w:iCs/>
                                <w:sz w:val="20"/>
                                <w:szCs w:val="28"/>
                              </w:rPr>
                              <w:t>ne unit receives complaints about poor performance or corruption among public servants</w:t>
                            </w:r>
                            <w:r>
                              <w:rPr>
                                <w:rFonts w:eastAsiaTheme="majorEastAsia" w:cstheme="minorHAnsi"/>
                                <w:iCs/>
                                <w:sz w:val="20"/>
                                <w:szCs w:val="28"/>
                              </w:rPr>
                              <w:t>;</w:t>
                            </w:r>
                          </w:p>
                          <w:p w:rsidR="00F26D8F" w:rsidRPr="0065750F" w:rsidRDefault="00F26D8F" w:rsidP="0065750F">
                            <w:pPr>
                              <w:pStyle w:val="ListParagraph"/>
                              <w:numPr>
                                <w:ilvl w:val="0"/>
                                <w:numId w:val="18"/>
                              </w:numPr>
                              <w:spacing w:after="0"/>
                              <w:rPr>
                                <w:rFonts w:eastAsiaTheme="majorEastAsia" w:cstheme="minorHAnsi"/>
                                <w:iCs/>
                                <w:sz w:val="20"/>
                                <w:szCs w:val="20"/>
                              </w:rPr>
                            </w:pPr>
                            <w:r w:rsidRPr="0065750F">
                              <w:rPr>
                                <w:sz w:val="20"/>
                                <w:szCs w:val="20"/>
                              </w:rPr>
                              <w:t>another unit handles requests for general public information;</w:t>
                            </w:r>
                          </w:p>
                          <w:p w:rsidR="00F26D8F" w:rsidRPr="0065750F" w:rsidRDefault="00F26D8F" w:rsidP="0065750F">
                            <w:pPr>
                              <w:pStyle w:val="ListParagraph"/>
                              <w:numPr>
                                <w:ilvl w:val="0"/>
                                <w:numId w:val="18"/>
                              </w:numPr>
                              <w:spacing w:after="60"/>
                              <w:rPr>
                                <w:b/>
                                <w:sz w:val="20"/>
                                <w:szCs w:val="20"/>
                              </w:rPr>
                            </w:pPr>
                            <w:proofErr w:type="gramStart"/>
                            <w:r w:rsidRPr="0065750F">
                              <w:rPr>
                                <w:sz w:val="20"/>
                                <w:szCs w:val="20"/>
                              </w:rPr>
                              <w:t>a</w:t>
                            </w:r>
                            <w:proofErr w:type="gramEnd"/>
                            <w:r w:rsidRPr="0065750F">
                              <w:rPr>
                                <w:sz w:val="20"/>
                                <w:szCs w:val="20"/>
                              </w:rPr>
                              <w:t xml:space="preserve"> third unit handles information requests on </w:t>
                            </w:r>
                            <w:r>
                              <w:rPr>
                                <w:sz w:val="20"/>
                                <w:szCs w:val="20"/>
                              </w:rPr>
                              <w:t>forest department</w:t>
                            </w:r>
                            <w:r w:rsidRPr="0065750F">
                              <w:rPr>
                                <w:sz w:val="20"/>
                                <w:szCs w:val="20"/>
                              </w:rPr>
                              <w:t xml:space="preserve"> operations. </w:t>
                            </w:r>
                          </w:p>
                          <w:p w:rsidR="00F26D8F" w:rsidRDefault="00F26D8F" w:rsidP="0065750F">
                            <w:pPr>
                              <w:spacing w:after="60"/>
                              <w:rPr>
                                <w:sz w:val="20"/>
                                <w:szCs w:val="20"/>
                              </w:rPr>
                            </w:pPr>
                            <w:r>
                              <w:rPr>
                                <w:sz w:val="20"/>
                                <w:szCs w:val="20"/>
                              </w:rPr>
                              <w:t xml:space="preserve">To determine what was working well and what needed to be improved, the Mexican forest agency convened a workshop evaluated the existing capacity against specific criteria (using the World Bank’s “GRM Evaluation” tool) to assess where the gaps were. They shared this evaluation with all participants and used it to guide a discussion on </w:t>
                            </w:r>
                            <w:r w:rsidRPr="0065750F">
                              <w:rPr>
                                <w:i/>
                                <w:sz w:val="20"/>
                                <w:szCs w:val="20"/>
                                <w:u w:val="single"/>
                              </w:rPr>
                              <w:t>next steps</w:t>
                            </w:r>
                            <w:r>
                              <w:rPr>
                                <w:sz w:val="20"/>
                                <w:szCs w:val="20"/>
                              </w:rPr>
                              <w:t>. Ultimately, they agreed to:</w:t>
                            </w:r>
                          </w:p>
                          <w:p w:rsidR="00F26D8F" w:rsidRPr="0065750F" w:rsidRDefault="00F26D8F" w:rsidP="0065750F">
                            <w:pPr>
                              <w:pStyle w:val="ListParagraph"/>
                              <w:numPr>
                                <w:ilvl w:val="0"/>
                                <w:numId w:val="21"/>
                              </w:numPr>
                              <w:spacing w:after="60"/>
                              <w:rPr>
                                <w:sz w:val="20"/>
                                <w:szCs w:val="20"/>
                              </w:rPr>
                            </w:pPr>
                            <w:r>
                              <w:rPr>
                                <w:sz w:val="20"/>
                                <w:szCs w:val="20"/>
                              </w:rPr>
                              <w:t>Centralize GRM functions in one unit and put in place processes for referrals from the other units;</w:t>
                            </w:r>
                          </w:p>
                          <w:p w:rsidR="00F26D8F" w:rsidRPr="000B5915" w:rsidRDefault="00F26D8F" w:rsidP="000B5915">
                            <w:pPr>
                              <w:pStyle w:val="ListParagraph"/>
                              <w:numPr>
                                <w:ilvl w:val="0"/>
                                <w:numId w:val="20"/>
                              </w:numPr>
                              <w:rPr>
                                <w:sz w:val="20"/>
                                <w:szCs w:val="20"/>
                              </w:rPr>
                            </w:pPr>
                            <w:r>
                              <w:rPr>
                                <w:sz w:val="20"/>
                                <w:szCs w:val="20"/>
                              </w:rPr>
                              <w:t xml:space="preserve">Create a mandate for the centralized GRM to handle </w:t>
                            </w:r>
                            <w:r w:rsidRPr="000B5915">
                              <w:rPr>
                                <w:sz w:val="20"/>
                                <w:szCs w:val="20"/>
                              </w:rPr>
                              <w:t xml:space="preserve">all </w:t>
                            </w:r>
                            <w:r>
                              <w:rPr>
                                <w:sz w:val="20"/>
                                <w:szCs w:val="20"/>
                              </w:rPr>
                              <w:t>forest department</w:t>
                            </w:r>
                            <w:r w:rsidRPr="000B5915">
                              <w:rPr>
                                <w:sz w:val="20"/>
                                <w:szCs w:val="20"/>
                              </w:rPr>
                              <w:t xml:space="preserve"> </w:t>
                            </w:r>
                            <w:r>
                              <w:rPr>
                                <w:sz w:val="20"/>
                                <w:szCs w:val="20"/>
                              </w:rPr>
                              <w:t xml:space="preserve">issues </w:t>
                            </w:r>
                            <w:r w:rsidRPr="000B5915">
                              <w:rPr>
                                <w:sz w:val="20"/>
                                <w:szCs w:val="20"/>
                              </w:rPr>
                              <w:t xml:space="preserve">– not just </w:t>
                            </w:r>
                            <w:r>
                              <w:rPr>
                                <w:sz w:val="20"/>
                                <w:szCs w:val="20"/>
                              </w:rPr>
                              <w:t>grievances related to FCPF</w:t>
                            </w:r>
                            <w:r w:rsidRPr="000B5915">
                              <w:rPr>
                                <w:sz w:val="20"/>
                                <w:szCs w:val="20"/>
                              </w:rPr>
                              <w:t>;</w:t>
                            </w:r>
                          </w:p>
                          <w:p w:rsidR="00F26D8F" w:rsidRPr="000B5915" w:rsidRDefault="00F26D8F" w:rsidP="000B5915">
                            <w:pPr>
                              <w:pStyle w:val="ListParagraph"/>
                              <w:numPr>
                                <w:ilvl w:val="0"/>
                                <w:numId w:val="20"/>
                              </w:numPr>
                              <w:rPr>
                                <w:sz w:val="20"/>
                                <w:szCs w:val="20"/>
                              </w:rPr>
                            </w:pPr>
                            <w:r>
                              <w:rPr>
                                <w:sz w:val="20"/>
                                <w:szCs w:val="20"/>
                              </w:rPr>
                              <w:t>Link the informal grievance work being done in the field to the central system</w:t>
                            </w:r>
                            <w:r w:rsidRPr="000B5915">
                              <w:rPr>
                                <w:sz w:val="20"/>
                                <w:szCs w:val="20"/>
                              </w:rPr>
                              <w:t>;</w:t>
                            </w:r>
                          </w:p>
                          <w:p w:rsidR="00F26D8F" w:rsidRPr="0065750F" w:rsidRDefault="00F26D8F" w:rsidP="0065750F">
                            <w:pPr>
                              <w:pStyle w:val="ListParagraph"/>
                              <w:numPr>
                                <w:ilvl w:val="0"/>
                                <w:numId w:val="20"/>
                              </w:numPr>
                              <w:spacing w:after="60"/>
                              <w:rPr>
                                <w:b/>
                                <w:sz w:val="20"/>
                                <w:szCs w:val="20"/>
                              </w:rPr>
                            </w:pPr>
                            <w:r w:rsidRPr="0065750F">
                              <w:rPr>
                                <w:sz w:val="20"/>
                                <w:szCs w:val="20"/>
                              </w:rPr>
                              <w:t xml:space="preserve">Create a centralized database of grievances with monitoring and reporting systems.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75.2pt;margin-top:451.8pt;width:444.25pt;height:34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" o:allowincell="f" filled="f" strokecolor="#622423" strokeweight="6pt">
                <v:stroke linestyle="thickThin"/>
                <v:textbox inset="10.8pt,7.2pt,10.8pt,7.2pt">
                  <w:txbxContent>
                    <w:p w:rsidR="00F26D8F" w:rsidRDefault="00F26D8F" w:rsidP="0065750F">
                      <w:pPr>
                        <w:spacing w:after="0" w:line="240" w:lineRule="auto"/>
                        <w:jc w:val="center"/>
                        <w:rPr>
                          <w:rFonts w:asciiTheme="majorHAnsi" w:eastAsiaTheme="majorEastAsia" w:hAnsiTheme="majorHAnsi" w:cstheme="minorHAnsi"/>
                          <w:i/>
                          <w:iCs/>
                          <w:sz w:val="28"/>
                          <w:szCs w:val="28"/>
                        </w:rPr>
                      </w:pPr>
                      <w:r w:rsidRPr="0065750F">
                        <w:rPr>
                          <w:rFonts w:asciiTheme="majorHAnsi" w:eastAsiaTheme="majorEastAsia" w:hAnsiTheme="majorHAnsi" w:cstheme="minorHAnsi"/>
                          <w:i/>
                          <w:iCs/>
                          <w:sz w:val="28"/>
                          <w:szCs w:val="28"/>
                        </w:rPr>
                        <w:t>Mexico</w:t>
                      </w:r>
                    </w:p>
                    <w:p w:rsidR="00F26D8F" w:rsidRPr="0065750F" w:rsidRDefault="00F26D8F" w:rsidP="0065750F">
                      <w:pPr>
                        <w:spacing w:after="0" w:line="240" w:lineRule="auto"/>
                        <w:jc w:val="center"/>
                        <w:rPr>
                          <w:rFonts w:asciiTheme="majorHAnsi" w:eastAsiaTheme="majorEastAsia" w:hAnsiTheme="majorHAnsi" w:cstheme="minorHAnsi"/>
                          <w:i/>
                          <w:iCs/>
                          <w:sz w:val="28"/>
                          <w:szCs w:val="28"/>
                        </w:rPr>
                      </w:pPr>
                    </w:p>
                    <w:p w:rsidR="00F26D8F" w:rsidRDefault="00F26D8F" w:rsidP="0065750F">
                      <w:pPr>
                        <w:spacing w:after="0"/>
                        <w:rPr>
                          <w:rFonts w:eastAsiaTheme="majorEastAsia" w:cstheme="minorHAnsi"/>
                          <w:iCs/>
                          <w:sz w:val="20"/>
                          <w:szCs w:val="28"/>
                        </w:rPr>
                      </w:pPr>
                      <w:r>
                        <w:rPr>
                          <w:rFonts w:eastAsiaTheme="majorEastAsia" w:cstheme="minorHAnsi"/>
                          <w:iCs/>
                          <w:sz w:val="20"/>
                          <w:szCs w:val="28"/>
                        </w:rPr>
                        <w:t xml:space="preserve">Mexico wanted to ensure it had a functioning grievance mechanism in place during the FCPF consultation phase, versus building a GRM that would only function once carbon funds were flowing. Thus their </w:t>
                      </w:r>
                      <w:r w:rsidRPr="0065750F">
                        <w:rPr>
                          <w:rFonts w:eastAsiaTheme="majorEastAsia" w:cstheme="minorHAnsi"/>
                          <w:i/>
                          <w:iCs/>
                          <w:sz w:val="20"/>
                          <w:szCs w:val="28"/>
                          <w:u w:val="single"/>
                        </w:rPr>
                        <w:t>risk assessment</w:t>
                      </w:r>
                      <w:r>
                        <w:rPr>
                          <w:rFonts w:eastAsiaTheme="majorEastAsia" w:cstheme="minorHAnsi"/>
                          <w:iCs/>
                          <w:sz w:val="20"/>
                          <w:szCs w:val="28"/>
                        </w:rPr>
                        <w:t xml:space="preserve"> carefully distinguished between the types of risks likely to arise in each phase (i.e. Readiness and Implementation, or carbon finance). The next step was to map out existing capacity. Their </w:t>
                      </w:r>
                      <w:r w:rsidRPr="0065750F">
                        <w:rPr>
                          <w:rFonts w:eastAsiaTheme="majorEastAsia" w:cstheme="minorHAnsi"/>
                          <w:i/>
                          <w:iCs/>
                          <w:sz w:val="20"/>
                          <w:szCs w:val="28"/>
                          <w:u w:val="single"/>
                        </w:rPr>
                        <w:t>capacity assessment</w:t>
                      </w:r>
                      <w:r>
                        <w:rPr>
                          <w:rFonts w:eastAsiaTheme="majorEastAsia" w:cstheme="minorHAnsi"/>
                          <w:iCs/>
                          <w:sz w:val="20"/>
                          <w:szCs w:val="28"/>
                        </w:rPr>
                        <w:t xml:space="preserve"> found three different entities within the national forest agency that handled grievances:</w:t>
                      </w:r>
                    </w:p>
                    <w:p w:rsidR="00F26D8F" w:rsidRDefault="00F26D8F" w:rsidP="0065750F">
                      <w:pPr>
                        <w:pStyle w:val="ListParagraph"/>
                        <w:numPr>
                          <w:ilvl w:val="0"/>
                          <w:numId w:val="18"/>
                        </w:numPr>
                        <w:spacing w:after="0"/>
                        <w:rPr>
                          <w:rFonts w:eastAsiaTheme="majorEastAsia" w:cstheme="minorHAnsi"/>
                          <w:iCs/>
                          <w:sz w:val="20"/>
                          <w:szCs w:val="28"/>
                        </w:rPr>
                      </w:pPr>
                      <w:r>
                        <w:rPr>
                          <w:rFonts w:eastAsiaTheme="majorEastAsia" w:cstheme="minorHAnsi"/>
                          <w:iCs/>
                          <w:sz w:val="20"/>
                          <w:szCs w:val="28"/>
                        </w:rPr>
                        <w:t>o</w:t>
                      </w:r>
                      <w:r w:rsidRPr="005B76A8">
                        <w:rPr>
                          <w:rFonts w:eastAsiaTheme="majorEastAsia" w:cstheme="minorHAnsi"/>
                          <w:iCs/>
                          <w:sz w:val="20"/>
                          <w:szCs w:val="28"/>
                        </w:rPr>
                        <w:t>ne unit receives complaints about poor performance or corruption among public servants</w:t>
                      </w:r>
                      <w:r>
                        <w:rPr>
                          <w:rFonts w:eastAsiaTheme="majorEastAsia" w:cstheme="minorHAnsi"/>
                          <w:iCs/>
                          <w:sz w:val="20"/>
                          <w:szCs w:val="28"/>
                        </w:rPr>
                        <w:t>;</w:t>
                      </w:r>
                    </w:p>
                    <w:p w:rsidR="00F26D8F" w:rsidRPr="0065750F" w:rsidRDefault="00F26D8F" w:rsidP="0065750F">
                      <w:pPr>
                        <w:pStyle w:val="ListParagraph"/>
                        <w:numPr>
                          <w:ilvl w:val="0"/>
                          <w:numId w:val="18"/>
                        </w:numPr>
                        <w:spacing w:after="0"/>
                        <w:rPr>
                          <w:rFonts w:eastAsiaTheme="majorEastAsia" w:cstheme="minorHAnsi"/>
                          <w:iCs/>
                          <w:sz w:val="20"/>
                          <w:szCs w:val="20"/>
                        </w:rPr>
                      </w:pPr>
                      <w:r w:rsidRPr="0065750F">
                        <w:rPr>
                          <w:sz w:val="20"/>
                          <w:szCs w:val="20"/>
                        </w:rPr>
                        <w:t>another unit handles requests for general public information;</w:t>
                      </w:r>
                    </w:p>
                    <w:p w:rsidR="00F26D8F" w:rsidRPr="0065750F" w:rsidRDefault="00F26D8F" w:rsidP="0065750F">
                      <w:pPr>
                        <w:pStyle w:val="ListParagraph"/>
                        <w:numPr>
                          <w:ilvl w:val="0"/>
                          <w:numId w:val="18"/>
                        </w:numPr>
                        <w:spacing w:after="60"/>
                        <w:rPr>
                          <w:b/>
                          <w:sz w:val="20"/>
                          <w:szCs w:val="20"/>
                        </w:rPr>
                      </w:pPr>
                      <w:proofErr w:type="gramStart"/>
                      <w:r w:rsidRPr="0065750F">
                        <w:rPr>
                          <w:sz w:val="20"/>
                          <w:szCs w:val="20"/>
                        </w:rPr>
                        <w:t>a</w:t>
                      </w:r>
                      <w:proofErr w:type="gramEnd"/>
                      <w:r w:rsidRPr="0065750F">
                        <w:rPr>
                          <w:sz w:val="20"/>
                          <w:szCs w:val="20"/>
                        </w:rPr>
                        <w:t xml:space="preserve"> third unit handles information requests on </w:t>
                      </w:r>
                      <w:r>
                        <w:rPr>
                          <w:sz w:val="20"/>
                          <w:szCs w:val="20"/>
                        </w:rPr>
                        <w:t>forest department</w:t>
                      </w:r>
                      <w:r w:rsidRPr="0065750F">
                        <w:rPr>
                          <w:sz w:val="20"/>
                          <w:szCs w:val="20"/>
                        </w:rPr>
                        <w:t xml:space="preserve"> operations. </w:t>
                      </w:r>
                    </w:p>
                    <w:p w:rsidR="00F26D8F" w:rsidRDefault="00F26D8F" w:rsidP="0065750F">
                      <w:pPr>
                        <w:spacing w:after="60"/>
                        <w:rPr>
                          <w:sz w:val="20"/>
                          <w:szCs w:val="20"/>
                        </w:rPr>
                      </w:pPr>
                      <w:r>
                        <w:rPr>
                          <w:sz w:val="20"/>
                          <w:szCs w:val="20"/>
                        </w:rPr>
                        <w:t xml:space="preserve">To determine what was working well and what needed to be improved, the Mexican forest agency convened a workshop evaluated the existing capacity against specific criteria (using the World Bank’s “GRM Evaluation” tool) to assess where the gaps were. They shared this evaluation with all participants and used it to guide a discussion on </w:t>
                      </w:r>
                      <w:r w:rsidRPr="0065750F">
                        <w:rPr>
                          <w:i/>
                          <w:sz w:val="20"/>
                          <w:szCs w:val="20"/>
                          <w:u w:val="single"/>
                        </w:rPr>
                        <w:t>next steps</w:t>
                      </w:r>
                      <w:r>
                        <w:rPr>
                          <w:sz w:val="20"/>
                          <w:szCs w:val="20"/>
                        </w:rPr>
                        <w:t>. Ultimately, they agreed to:</w:t>
                      </w:r>
                    </w:p>
                    <w:p w:rsidR="00F26D8F" w:rsidRPr="0065750F" w:rsidRDefault="00F26D8F" w:rsidP="0065750F">
                      <w:pPr>
                        <w:pStyle w:val="ListParagraph"/>
                        <w:numPr>
                          <w:ilvl w:val="0"/>
                          <w:numId w:val="21"/>
                        </w:numPr>
                        <w:spacing w:after="60"/>
                        <w:rPr>
                          <w:sz w:val="20"/>
                          <w:szCs w:val="20"/>
                        </w:rPr>
                      </w:pPr>
                      <w:r>
                        <w:rPr>
                          <w:sz w:val="20"/>
                          <w:szCs w:val="20"/>
                        </w:rPr>
                        <w:t>Centralize GRM functions in one unit and put in place processes for referrals from the other units;</w:t>
                      </w:r>
                    </w:p>
                    <w:p w:rsidR="00F26D8F" w:rsidRPr="000B5915" w:rsidRDefault="00F26D8F" w:rsidP="000B5915">
                      <w:pPr>
                        <w:pStyle w:val="ListParagraph"/>
                        <w:numPr>
                          <w:ilvl w:val="0"/>
                          <w:numId w:val="20"/>
                        </w:numPr>
                        <w:rPr>
                          <w:sz w:val="20"/>
                          <w:szCs w:val="20"/>
                        </w:rPr>
                      </w:pPr>
                      <w:r>
                        <w:rPr>
                          <w:sz w:val="20"/>
                          <w:szCs w:val="20"/>
                        </w:rPr>
                        <w:t xml:space="preserve">Create a mandate for the centralized GRM to handle </w:t>
                      </w:r>
                      <w:r w:rsidRPr="000B5915">
                        <w:rPr>
                          <w:sz w:val="20"/>
                          <w:szCs w:val="20"/>
                        </w:rPr>
                        <w:t xml:space="preserve">all </w:t>
                      </w:r>
                      <w:r>
                        <w:rPr>
                          <w:sz w:val="20"/>
                          <w:szCs w:val="20"/>
                        </w:rPr>
                        <w:t>forest department</w:t>
                      </w:r>
                      <w:r w:rsidRPr="000B5915">
                        <w:rPr>
                          <w:sz w:val="20"/>
                          <w:szCs w:val="20"/>
                        </w:rPr>
                        <w:t xml:space="preserve"> </w:t>
                      </w:r>
                      <w:r>
                        <w:rPr>
                          <w:sz w:val="20"/>
                          <w:szCs w:val="20"/>
                        </w:rPr>
                        <w:t xml:space="preserve">issues </w:t>
                      </w:r>
                      <w:r w:rsidRPr="000B5915">
                        <w:rPr>
                          <w:sz w:val="20"/>
                          <w:szCs w:val="20"/>
                        </w:rPr>
                        <w:t xml:space="preserve">– not just </w:t>
                      </w:r>
                      <w:r>
                        <w:rPr>
                          <w:sz w:val="20"/>
                          <w:szCs w:val="20"/>
                        </w:rPr>
                        <w:t>grievances related to FCPF</w:t>
                      </w:r>
                      <w:r w:rsidRPr="000B5915">
                        <w:rPr>
                          <w:sz w:val="20"/>
                          <w:szCs w:val="20"/>
                        </w:rPr>
                        <w:t>;</w:t>
                      </w:r>
                    </w:p>
                    <w:p w:rsidR="00F26D8F" w:rsidRPr="000B5915" w:rsidRDefault="00F26D8F" w:rsidP="000B5915">
                      <w:pPr>
                        <w:pStyle w:val="ListParagraph"/>
                        <w:numPr>
                          <w:ilvl w:val="0"/>
                          <w:numId w:val="20"/>
                        </w:numPr>
                        <w:rPr>
                          <w:sz w:val="20"/>
                          <w:szCs w:val="20"/>
                        </w:rPr>
                      </w:pPr>
                      <w:r>
                        <w:rPr>
                          <w:sz w:val="20"/>
                          <w:szCs w:val="20"/>
                        </w:rPr>
                        <w:t>Link the informal grievance work being done in the field to the central system</w:t>
                      </w:r>
                      <w:r w:rsidRPr="000B5915">
                        <w:rPr>
                          <w:sz w:val="20"/>
                          <w:szCs w:val="20"/>
                        </w:rPr>
                        <w:t>;</w:t>
                      </w:r>
                    </w:p>
                    <w:p w:rsidR="00F26D8F" w:rsidRPr="0065750F" w:rsidRDefault="00F26D8F" w:rsidP="0065750F">
                      <w:pPr>
                        <w:pStyle w:val="ListParagraph"/>
                        <w:numPr>
                          <w:ilvl w:val="0"/>
                          <w:numId w:val="20"/>
                        </w:numPr>
                        <w:spacing w:after="60"/>
                        <w:rPr>
                          <w:b/>
                          <w:sz w:val="20"/>
                          <w:szCs w:val="20"/>
                        </w:rPr>
                      </w:pPr>
                      <w:r w:rsidRPr="0065750F">
                        <w:rPr>
                          <w:sz w:val="20"/>
                          <w:szCs w:val="20"/>
                        </w:rPr>
                        <w:t xml:space="preserve">Create a centralized database of grievances with monitoring and reporting systems. </w:t>
                      </w:r>
                    </w:p>
                  </w:txbxContent>
                </v:textbox>
                <w10:wrap type="square" anchorx="page" anchory="page"/>
              </v:shape>
            </w:pict>
          </mc:Fallback>
        </mc:AlternateContent>
      </w:r>
    </w:p>
    <w:p w:rsidR="00E22268" w:rsidRPr="0065750F" w:rsidRDefault="00E22268" w:rsidP="00636EA2">
      <w:pPr>
        <w:spacing w:after="0" w:line="240" w:lineRule="auto"/>
        <w:contextualSpacing/>
        <w:jc w:val="both"/>
        <w:rPr>
          <w:rFonts w:asciiTheme="majorHAnsi" w:hAnsiTheme="majorHAnsi" w:cstheme="minorHAnsi"/>
          <w:sz w:val="24"/>
          <w:szCs w:val="24"/>
        </w:rPr>
      </w:pPr>
    </w:p>
    <w:p w:rsidR="00975D10" w:rsidRPr="0065750F" w:rsidRDefault="00975D10" w:rsidP="0065750F">
      <w:pPr>
        <w:spacing w:after="0" w:line="240" w:lineRule="auto"/>
        <w:contextualSpacing/>
        <w:jc w:val="both"/>
        <w:rPr>
          <w:rFonts w:asciiTheme="majorHAnsi" w:hAnsiTheme="majorHAnsi" w:cstheme="minorHAnsi"/>
          <w:color w:val="000000"/>
          <w:sz w:val="24"/>
          <w:szCs w:val="24"/>
        </w:rPr>
      </w:pPr>
    </w:p>
    <w:sectPr w:rsidR="00975D10" w:rsidRPr="0065750F" w:rsidSect="00746B7C">
      <w:headerReference w:type="default" r:id="rId9"/>
      <w:footerReference w:type="default" r:id="rId10"/>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8F" w:rsidRDefault="00F26D8F" w:rsidP="00B47A94">
      <w:pPr>
        <w:spacing w:after="0" w:line="240" w:lineRule="auto"/>
      </w:pPr>
      <w:r>
        <w:separator/>
      </w:r>
    </w:p>
  </w:endnote>
  <w:endnote w:type="continuationSeparator" w:id="0">
    <w:p w:rsidR="00F26D8F" w:rsidRDefault="00F26D8F" w:rsidP="00B4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8F" w:rsidRPr="00B47A94" w:rsidRDefault="00AA6ADC">
    <w:pPr>
      <w:pStyle w:val="Footer"/>
      <w:jc w:val="center"/>
      <w:rPr>
        <w:sz w:val="20"/>
      </w:rPr>
    </w:pPr>
    <w:r>
      <w:rPr>
        <w:noProof/>
        <w:sz w:val="20"/>
        <w:lang w:eastAsia="en-US"/>
      </w:rPr>
      <w:drawing>
        <wp:inline distT="0" distB="0" distL="0" distR="0">
          <wp:extent cx="1948688" cy="598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P_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8000" cy="597824"/>
                  </a:xfrm>
                  <a:prstGeom prst="rect">
                    <a:avLst/>
                  </a:prstGeom>
                </pic:spPr>
              </pic:pic>
            </a:graphicData>
          </a:graphic>
        </wp:inline>
      </w:drawing>
    </w:r>
  </w:p>
  <w:p w:rsidR="00F26D8F" w:rsidRDefault="00F26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8F" w:rsidRDefault="00F26D8F" w:rsidP="00B47A94">
      <w:pPr>
        <w:spacing w:after="0" w:line="240" w:lineRule="auto"/>
      </w:pPr>
      <w:r>
        <w:separator/>
      </w:r>
    </w:p>
  </w:footnote>
  <w:footnote w:type="continuationSeparator" w:id="0">
    <w:p w:rsidR="00F26D8F" w:rsidRDefault="00F26D8F" w:rsidP="00B47A94">
      <w:pPr>
        <w:spacing w:after="0" w:line="240" w:lineRule="auto"/>
      </w:pPr>
      <w:r>
        <w:continuationSeparator/>
      </w:r>
    </w:p>
  </w:footnote>
  <w:footnote w:id="1">
    <w:p w:rsidR="00F26D8F" w:rsidRPr="00B065D3" w:rsidRDefault="00F26D8F" w:rsidP="009D36CD">
      <w:pPr>
        <w:pStyle w:val="FootnoteText"/>
      </w:pPr>
      <w:r>
        <w:rPr>
          <w:rStyle w:val="FootnoteReference"/>
        </w:rPr>
        <w:footnoteRef/>
      </w:r>
      <w:r>
        <w:t xml:space="preserve"> </w:t>
      </w:r>
      <w:r w:rsidRPr="002C3B27">
        <w:t>In reference to the report issued</w:t>
      </w:r>
      <w:r>
        <w:t xml:space="preserve"> in 2008</w:t>
      </w:r>
      <w:r w:rsidRPr="002C3B27">
        <w:t xml:space="preserve"> by </w:t>
      </w:r>
      <w:r>
        <w:t xml:space="preserve">John </w:t>
      </w:r>
      <w:proofErr w:type="spellStart"/>
      <w:r>
        <w:t>Ruggie</w:t>
      </w:r>
      <w:proofErr w:type="spellEnd"/>
      <w:r>
        <w:t xml:space="preserve">, </w:t>
      </w:r>
      <w:r w:rsidRPr="002C3B27">
        <w:t xml:space="preserve">the UN Special Representative </w:t>
      </w:r>
      <w:r>
        <w:t>of the Secretary General on Human Rights and Transnational Corporations and other business enterprises.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8F" w:rsidRDefault="00F26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00000"/>
    <w:multiLevelType w:val="hybridMultilevel"/>
    <w:tmpl w:val="00000001"/>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tentative="1">
      <w:start w:val="1"/>
      <w:numFmt w:val="lowerLetter"/>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9" w:tentative="1">
      <w:start w:val="1"/>
      <w:numFmt w:val="lowerLetter"/>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9" w:tentative="1">
      <w:start w:val="1"/>
      <w:numFmt w:val="lowerLetter"/>
      <w:lvlText w:val="%9."/>
      <w:lvlJc w:val="right"/>
      <w:pPr>
        <w:ind w:left="6480" w:hanging="180"/>
      </w:pPr>
    </w:lvl>
  </w:abstractNum>
  <w:abstractNum w:abstractNumId="1">
    <w:nsid w:val="037F5AEB"/>
    <w:multiLevelType w:val="multilevel"/>
    <w:tmpl w:val="5A96BB84"/>
    <w:lvl w:ilvl="0">
      <w:start w:val="1"/>
      <w:numFmt w:val="decimal"/>
      <w:lvlText w:val="%1"/>
      <w:lvlJc w:val="left"/>
      <w:pPr>
        <w:ind w:left="360" w:hanging="360"/>
      </w:pPr>
      <w:rPr>
        <w:rFonts w:ascii="Arial" w:hAnsi="Arial" w:hint="default"/>
        <w:b/>
        <w:color w:val="000000"/>
      </w:rPr>
    </w:lvl>
    <w:lvl w:ilvl="1">
      <w:start w:val="1"/>
      <w:numFmt w:val="decimal"/>
      <w:lvlText w:val="%1.%2"/>
      <w:lvlJc w:val="left"/>
      <w:pPr>
        <w:ind w:left="360" w:hanging="360"/>
      </w:pPr>
      <w:rPr>
        <w:rFonts w:ascii="Arial" w:hAnsi="Arial" w:hint="default"/>
        <w:b/>
        <w:color w:val="000000"/>
      </w:rPr>
    </w:lvl>
    <w:lvl w:ilvl="2">
      <w:start w:val="1"/>
      <w:numFmt w:val="decimal"/>
      <w:lvlText w:val="%1.%2.%3"/>
      <w:lvlJc w:val="left"/>
      <w:pPr>
        <w:ind w:left="720" w:hanging="720"/>
      </w:pPr>
      <w:rPr>
        <w:rFonts w:ascii="Arial" w:hAnsi="Arial" w:hint="default"/>
        <w:b/>
        <w:color w:val="000000"/>
      </w:rPr>
    </w:lvl>
    <w:lvl w:ilvl="3">
      <w:start w:val="1"/>
      <w:numFmt w:val="decimal"/>
      <w:lvlText w:val="%1.%2.%3.%4"/>
      <w:lvlJc w:val="left"/>
      <w:pPr>
        <w:ind w:left="720" w:hanging="720"/>
      </w:pPr>
      <w:rPr>
        <w:rFonts w:ascii="Arial" w:hAnsi="Arial" w:hint="default"/>
        <w:b/>
        <w:color w:val="000000"/>
      </w:rPr>
    </w:lvl>
    <w:lvl w:ilvl="4">
      <w:start w:val="1"/>
      <w:numFmt w:val="decimal"/>
      <w:lvlText w:val="%1.%2.%3.%4.%5"/>
      <w:lvlJc w:val="left"/>
      <w:pPr>
        <w:ind w:left="1080" w:hanging="1080"/>
      </w:pPr>
      <w:rPr>
        <w:rFonts w:ascii="Arial" w:hAnsi="Arial" w:hint="default"/>
        <w:b/>
        <w:color w:val="000000"/>
      </w:rPr>
    </w:lvl>
    <w:lvl w:ilvl="5">
      <w:start w:val="1"/>
      <w:numFmt w:val="decimal"/>
      <w:lvlText w:val="%1.%2.%3.%4.%5.%6"/>
      <w:lvlJc w:val="left"/>
      <w:pPr>
        <w:ind w:left="1080" w:hanging="1080"/>
      </w:pPr>
      <w:rPr>
        <w:rFonts w:ascii="Arial" w:hAnsi="Arial" w:hint="default"/>
        <w:b/>
        <w:color w:val="000000"/>
      </w:rPr>
    </w:lvl>
    <w:lvl w:ilvl="6">
      <w:start w:val="1"/>
      <w:numFmt w:val="decimal"/>
      <w:lvlText w:val="%1.%2.%3.%4.%5.%6.%7"/>
      <w:lvlJc w:val="left"/>
      <w:pPr>
        <w:ind w:left="1440" w:hanging="1440"/>
      </w:pPr>
      <w:rPr>
        <w:rFonts w:ascii="Arial" w:hAnsi="Arial" w:hint="default"/>
        <w:b/>
        <w:color w:val="000000"/>
      </w:rPr>
    </w:lvl>
    <w:lvl w:ilvl="7">
      <w:start w:val="1"/>
      <w:numFmt w:val="decimal"/>
      <w:lvlText w:val="%1.%2.%3.%4.%5.%6.%7.%8"/>
      <w:lvlJc w:val="left"/>
      <w:pPr>
        <w:ind w:left="1440" w:hanging="1440"/>
      </w:pPr>
      <w:rPr>
        <w:rFonts w:ascii="Arial" w:hAnsi="Arial" w:hint="default"/>
        <w:b/>
        <w:color w:val="000000"/>
      </w:rPr>
    </w:lvl>
    <w:lvl w:ilvl="8">
      <w:start w:val="1"/>
      <w:numFmt w:val="decimal"/>
      <w:lvlText w:val="%1.%2.%3.%4.%5.%6.%7.%8.%9"/>
      <w:lvlJc w:val="left"/>
      <w:pPr>
        <w:ind w:left="1440" w:hanging="1440"/>
      </w:pPr>
      <w:rPr>
        <w:rFonts w:ascii="Arial" w:hAnsi="Arial" w:hint="default"/>
        <w:b/>
        <w:color w:val="000000"/>
      </w:rPr>
    </w:lvl>
  </w:abstractNum>
  <w:abstractNum w:abstractNumId="2">
    <w:nsid w:val="0FE736FC"/>
    <w:multiLevelType w:val="hybridMultilevel"/>
    <w:tmpl w:val="A30234F4"/>
    <w:lvl w:ilvl="0" w:tplc="9F8A10C4">
      <w:start w:val="1"/>
      <w:numFmt w:val="bullet"/>
      <w:lvlText w:val="-"/>
      <w:lvlJc w:val="left"/>
      <w:pPr>
        <w:ind w:left="720" w:hanging="360"/>
      </w:pPr>
      <w:rPr>
        <w:rFonts w:ascii="Calibri" w:eastAsia="Calibr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
    <w:nsid w:val="182A3C9A"/>
    <w:multiLevelType w:val="hybridMultilevel"/>
    <w:tmpl w:val="DE805F92"/>
    <w:lvl w:ilvl="0" w:tplc="0E1A5366">
      <w:start w:val="3"/>
      <w:numFmt w:val="bullet"/>
      <w:lvlText w:val="-"/>
      <w:lvlJc w:val="left"/>
      <w:pPr>
        <w:ind w:left="720" w:hanging="360"/>
      </w:pPr>
      <w:rPr>
        <w:rFonts w:ascii="Gill Sans MT" w:eastAsiaTheme="minorHAnsi" w:hAnsi="Gill Sans MT"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E277D5F"/>
    <w:multiLevelType w:val="hybridMultilevel"/>
    <w:tmpl w:val="D6BC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D55CA"/>
    <w:multiLevelType w:val="hybridMultilevel"/>
    <w:tmpl w:val="587CF8DC"/>
    <w:lvl w:ilvl="0" w:tplc="E5ACB6FC">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DD57CB5"/>
    <w:multiLevelType w:val="hybridMultilevel"/>
    <w:tmpl w:val="DA489D62"/>
    <w:lvl w:ilvl="0" w:tplc="4AAE80B4">
      <w:start w:val="3"/>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0306887"/>
    <w:multiLevelType w:val="hybridMultilevel"/>
    <w:tmpl w:val="FD984216"/>
    <w:lvl w:ilvl="0" w:tplc="40A2E0CE">
      <w:start w:val="3"/>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5E725AD"/>
    <w:multiLevelType w:val="multilevel"/>
    <w:tmpl w:val="02827A96"/>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9">
    <w:nsid w:val="36494DD0"/>
    <w:multiLevelType w:val="multilevel"/>
    <w:tmpl w:val="02827A96"/>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10">
    <w:nsid w:val="3D6A4580"/>
    <w:multiLevelType w:val="hybridMultilevel"/>
    <w:tmpl w:val="E42A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B7323"/>
    <w:multiLevelType w:val="hybridMultilevel"/>
    <w:tmpl w:val="8A9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44E85"/>
    <w:multiLevelType w:val="hybridMultilevel"/>
    <w:tmpl w:val="0370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A0C00"/>
    <w:multiLevelType w:val="hybridMultilevel"/>
    <w:tmpl w:val="83BA13E8"/>
    <w:lvl w:ilvl="0" w:tplc="E8AA579C">
      <w:numFmt w:val="bullet"/>
      <w:lvlText w:val="-"/>
      <w:lvlJc w:val="left"/>
      <w:pPr>
        <w:ind w:left="720" w:hanging="360"/>
      </w:pPr>
      <w:rPr>
        <w:rFonts w:ascii="Cambria" w:eastAsiaTheme="minorHAnsi" w:hAnsi="Cambria" w:cstheme="minorHAnsi"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D3F7E7B"/>
    <w:multiLevelType w:val="hybridMultilevel"/>
    <w:tmpl w:val="101C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45C18"/>
    <w:multiLevelType w:val="hybridMultilevel"/>
    <w:tmpl w:val="DBFC172E"/>
    <w:lvl w:ilvl="0" w:tplc="1BAE2CE6">
      <w:start w:val="3"/>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6F6D0478"/>
    <w:multiLevelType w:val="hybridMultilevel"/>
    <w:tmpl w:val="61C2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C6D54"/>
    <w:multiLevelType w:val="hybridMultilevel"/>
    <w:tmpl w:val="06E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43380"/>
    <w:multiLevelType w:val="hybridMultilevel"/>
    <w:tmpl w:val="E9169D98"/>
    <w:lvl w:ilvl="0" w:tplc="898418E8">
      <w:start w:val="3"/>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8BA4D0E"/>
    <w:multiLevelType w:val="hybridMultilevel"/>
    <w:tmpl w:val="A1E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963F9B"/>
    <w:multiLevelType w:val="hybridMultilevel"/>
    <w:tmpl w:val="A7A4D5A2"/>
    <w:lvl w:ilvl="0" w:tplc="3F088BF4">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7CAB0E81"/>
    <w:multiLevelType w:val="hybridMultilevel"/>
    <w:tmpl w:val="31EA6284"/>
    <w:lvl w:ilvl="0" w:tplc="36641CB8">
      <w:start w:val="3"/>
      <w:numFmt w:val="bullet"/>
      <w:lvlText w:val="-"/>
      <w:lvlJc w:val="left"/>
      <w:pPr>
        <w:ind w:left="720" w:hanging="360"/>
      </w:pPr>
      <w:rPr>
        <w:rFonts w:ascii="Calibri" w:eastAsiaTheme="minorHAnsi" w:hAnsi="Calibri" w:cs="Calibri" w:hint="default"/>
        <w:color w:val="000000"/>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8"/>
  </w:num>
  <w:num w:numId="5">
    <w:abstractNumId w:val="7"/>
  </w:num>
  <w:num w:numId="6">
    <w:abstractNumId w:val="6"/>
  </w:num>
  <w:num w:numId="7">
    <w:abstractNumId w:val="16"/>
  </w:num>
  <w:num w:numId="8">
    <w:abstractNumId w:val="2"/>
  </w:num>
  <w:num w:numId="9">
    <w:abstractNumId w:val="15"/>
  </w:num>
  <w:num w:numId="10">
    <w:abstractNumId w:val="20"/>
  </w:num>
  <w:num w:numId="11">
    <w:abstractNumId w:val="5"/>
  </w:num>
  <w:num w:numId="12">
    <w:abstractNumId w:val="3"/>
  </w:num>
  <w:num w:numId="13">
    <w:abstractNumId w:val="21"/>
  </w:num>
  <w:num w:numId="14">
    <w:abstractNumId w:val="13"/>
  </w:num>
  <w:num w:numId="15">
    <w:abstractNumId w:val="17"/>
  </w:num>
  <w:num w:numId="16">
    <w:abstractNumId w:val="4"/>
  </w:num>
  <w:num w:numId="17">
    <w:abstractNumId w:val="14"/>
  </w:num>
  <w:num w:numId="18">
    <w:abstractNumId w:val="11"/>
  </w:num>
  <w:num w:numId="19">
    <w:abstractNumId w:val="12"/>
  </w:num>
  <w:num w:numId="20">
    <w:abstractNumId w:val="19"/>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DD"/>
    <w:rsid w:val="00006A14"/>
    <w:rsid w:val="00057769"/>
    <w:rsid w:val="0006325C"/>
    <w:rsid w:val="00074664"/>
    <w:rsid w:val="000914BE"/>
    <w:rsid w:val="000B5915"/>
    <w:rsid w:val="000E373E"/>
    <w:rsid w:val="000E5FD5"/>
    <w:rsid w:val="001607D0"/>
    <w:rsid w:val="001902E5"/>
    <w:rsid w:val="001C056F"/>
    <w:rsid w:val="00206DC5"/>
    <w:rsid w:val="002143FF"/>
    <w:rsid w:val="00215617"/>
    <w:rsid w:val="002275F6"/>
    <w:rsid w:val="002A0EEF"/>
    <w:rsid w:val="002C3B27"/>
    <w:rsid w:val="002C5745"/>
    <w:rsid w:val="00302EFE"/>
    <w:rsid w:val="003104B3"/>
    <w:rsid w:val="00331FFD"/>
    <w:rsid w:val="00357DAD"/>
    <w:rsid w:val="00360E0D"/>
    <w:rsid w:val="00384CF8"/>
    <w:rsid w:val="003F7D5F"/>
    <w:rsid w:val="00431CF9"/>
    <w:rsid w:val="00456F4A"/>
    <w:rsid w:val="00496A82"/>
    <w:rsid w:val="004A296A"/>
    <w:rsid w:val="004E32F3"/>
    <w:rsid w:val="00513F89"/>
    <w:rsid w:val="00563797"/>
    <w:rsid w:val="00567404"/>
    <w:rsid w:val="005A3AC7"/>
    <w:rsid w:val="005B76A8"/>
    <w:rsid w:val="005D4621"/>
    <w:rsid w:val="005F4A0C"/>
    <w:rsid w:val="006027C7"/>
    <w:rsid w:val="0061661D"/>
    <w:rsid w:val="00636EA2"/>
    <w:rsid w:val="006440E6"/>
    <w:rsid w:val="0065750F"/>
    <w:rsid w:val="00663423"/>
    <w:rsid w:val="006C0AF0"/>
    <w:rsid w:val="006E3A12"/>
    <w:rsid w:val="006F1733"/>
    <w:rsid w:val="006F68F5"/>
    <w:rsid w:val="00712F6B"/>
    <w:rsid w:val="00723D98"/>
    <w:rsid w:val="00726C3B"/>
    <w:rsid w:val="00737D8B"/>
    <w:rsid w:val="00746B7C"/>
    <w:rsid w:val="00746BCD"/>
    <w:rsid w:val="00754F26"/>
    <w:rsid w:val="00781CB9"/>
    <w:rsid w:val="00787930"/>
    <w:rsid w:val="0079623B"/>
    <w:rsid w:val="008204BE"/>
    <w:rsid w:val="008305B7"/>
    <w:rsid w:val="00835AA8"/>
    <w:rsid w:val="008708E0"/>
    <w:rsid w:val="008C46A5"/>
    <w:rsid w:val="008D7D7A"/>
    <w:rsid w:val="00937094"/>
    <w:rsid w:val="009574DC"/>
    <w:rsid w:val="00967259"/>
    <w:rsid w:val="00967A2A"/>
    <w:rsid w:val="00975D10"/>
    <w:rsid w:val="009D36B6"/>
    <w:rsid w:val="009D36CD"/>
    <w:rsid w:val="00A1090A"/>
    <w:rsid w:val="00A10EB3"/>
    <w:rsid w:val="00A50701"/>
    <w:rsid w:val="00A54A58"/>
    <w:rsid w:val="00A6794A"/>
    <w:rsid w:val="00A80037"/>
    <w:rsid w:val="00A82A98"/>
    <w:rsid w:val="00A83F27"/>
    <w:rsid w:val="00AA6ADC"/>
    <w:rsid w:val="00B065D3"/>
    <w:rsid w:val="00B33092"/>
    <w:rsid w:val="00B47A94"/>
    <w:rsid w:val="00B47C1E"/>
    <w:rsid w:val="00BB7BFF"/>
    <w:rsid w:val="00BD1A10"/>
    <w:rsid w:val="00BD385E"/>
    <w:rsid w:val="00BF7963"/>
    <w:rsid w:val="00C43351"/>
    <w:rsid w:val="00C53898"/>
    <w:rsid w:val="00C57C9B"/>
    <w:rsid w:val="00C64929"/>
    <w:rsid w:val="00CB7D2E"/>
    <w:rsid w:val="00CE0F4D"/>
    <w:rsid w:val="00D01C10"/>
    <w:rsid w:val="00D2426F"/>
    <w:rsid w:val="00D54EF3"/>
    <w:rsid w:val="00D757D3"/>
    <w:rsid w:val="00D922CF"/>
    <w:rsid w:val="00DB08B0"/>
    <w:rsid w:val="00DB7D88"/>
    <w:rsid w:val="00DD7AD9"/>
    <w:rsid w:val="00DE46DD"/>
    <w:rsid w:val="00E13880"/>
    <w:rsid w:val="00E22268"/>
    <w:rsid w:val="00ED38B4"/>
    <w:rsid w:val="00F150D5"/>
    <w:rsid w:val="00F26D8F"/>
    <w:rsid w:val="00F307F0"/>
    <w:rsid w:val="00F650DD"/>
    <w:rsid w:val="00F658FF"/>
    <w:rsid w:val="00F75DAA"/>
    <w:rsid w:val="00FA7F6B"/>
    <w:rsid w:val="00FE064D"/>
    <w:rsid w:val="00FF201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B9"/>
    <w:pPr>
      <w:ind w:left="720"/>
      <w:contextualSpacing/>
    </w:pPr>
  </w:style>
  <w:style w:type="table" w:styleId="TableGrid">
    <w:name w:val="Table Grid"/>
    <w:basedOn w:val="TableNormal"/>
    <w:uiPriority w:val="59"/>
    <w:rsid w:val="00DB2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75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AF0"/>
  </w:style>
  <w:style w:type="paragraph" w:styleId="Footer">
    <w:name w:val="footer"/>
    <w:basedOn w:val="Normal"/>
    <w:link w:val="FooterChar"/>
    <w:uiPriority w:val="99"/>
    <w:unhideWhenUsed/>
    <w:rsid w:val="00875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AF0"/>
  </w:style>
  <w:style w:type="character" w:styleId="CommentReference">
    <w:name w:val="annotation reference"/>
    <w:basedOn w:val="DefaultParagraphFont"/>
    <w:uiPriority w:val="99"/>
    <w:semiHidden/>
    <w:unhideWhenUsed/>
    <w:rsid w:val="006440E6"/>
    <w:rPr>
      <w:sz w:val="16"/>
      <w:szCs w:val="16"/>
    </w:rPr>
  </w:style>
  <w:style w:type="paragraph" w:styleId="CommentText">
    <w:name w:val="annotation text"/>
    <w:basedOn w:val="Normal"/>
    <w:link w:val="CommentTextChar"/>
    <w:uiPriority w:val="99"/>
    <w:semiHidden/>
    <w:unhideWhenUsed/>
    <w:rsid w:val="006440E6"/>
    <w:pPr>
      <w:spacing w:line="240" w:lineRule="auto"/>
    </w:pPr>
    <w:rPr>
      <w:sz w:val="20"/>
      <w:szCs w:val="20"/>
    </w:rPr>
  </w:style>
  <w:style w:type="character" w:customStyle="1" w:styleId="CommentTextChar">
    <w:name w:val="Comment Text Char"/>
    <w:basedOn w:val="DefaultParagraphFont"/>
    <w:link w:val="CommentText"/>
    <w:uiPriority w:val="99"/>
    <w:semiHidden/>
    <w:rsid w:val="006440E6"/>
    <w:rPr>
      <w:sz w:val="20"/>
      <w:szCs w:val="20"/>
    </w:rPr>
  </w:style>
  <w:style w:type="paragraph" w:styleId="CommentSubject">
    <w:name w:val="annotation subject"/>
    <w:basedOn w:val="CommentText"/>
    <w:next w:val="CommentText"/>
    <w:link w:val="CommentSubjectChar"/>
    <w:uiPriority w:val="99"/>
    <w:semiHidden/>
    <w:unhideWhenUsed/>
    <w:rsid w:val="006440E6"/>
    <w:rPr>
      <w:b/>
      <w:bCs/>
    </w:rPr>
  </w:style>
  <w:style w:type="character" w:customStyle="1" w:styleId="CommentSubjectChar">
    <w:name w:val="Comment Subject Char"/>
    <w:basedOn w:val="CommentTextChar"/>
    <w:link w:val="CommentSubject"/>
    <w:uiPriority w:val="99"/>
    <w:semiHidden/>
    <w:rsid w:val="006440E6"/>
    <w:rPr>
      <w:b/>
      <w:bCs/>
      <w:sz w:val="20"/>
      <w:szCs w:val="20"/>
    </w:rPr>
  </w:style>
  <w:style w:type="paragraph" w:styleId="BalloonText">
    <w:name w:val="Balloon Text"/>
    <w:basedOn w:val="Normal"/>
    <w:link w:val="BalloonTextChar"/>
    <w:uiPriority w:val="99"/>
    <w:semiHidden/>
    <w:unhideWhenUsed/>
    <w:rsid w:val="0064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E6"/>
    <w:rPr>
      <w:rFonts w:ascii="Tahoma" w:hAnsi="Tahoma" w:cs="Tahoma"/>
      <w:sz w:val="16"/>
      <w:szCs w:val="16"/>
    </w:rPr>
  </w:style>
  <w:style w:type="paragraph" w:styleId="NormalWeb">
    <w:name w:val="Normal (Web)"/>
    <w:basedOn w:val="Normal"/>
    <w:uiPriority w:val="99"/>
    <w:unhideWhenUsed/>
    <w:rsid w:val="006027C7"/>
    <w:pPr>
      <w:spacing w:before="100" w:beforeAutospacing="1" w:after="100" w:afterAutospacing="1" w:line="240" w:lineRule="auto"/>
    </w:pPr>
    <w:rPr>
      <w:rFonts w:ascii="Times New Roman" w:hAnsi="Times New Roman" w:cs="Times New Roman"/>
      <w:sz w:val="24"/>
      <w:szCs w:val="24"/>
      <w:lang w:val="es-EC"/>
    </w:rPr>
  </w:style>
  <w:style w:type="paragraph" w:styleId="FootnoteText">
    <w:name w:val="footnote text"/>
    <w:basedOn w:val="Normal"/>
    <w:link w:val="FootnoteTextChar"/>
    <w:uiPriority w:val="99"/>
    <w:semiHidden/>
    <w:unhideWhenUsed/>
    <w:rsid w:val="00B06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5D3"/>
    <w:rPr>
      <w:sz w:val="20"/>
      <w:szCs w:val="20"/>
    </w:rPr>
  </w:style>
  <w:style w:type="character" w:styleId="FootnoteReference">
    <w:name w:val="footnote reference"/>
    <w:basedOn w:val="DefaultParagraphFont"/>
    <w:uiPriority w:val="99"/>
    <w:semiHidden/>
    <w:unhideWhenUsed/>
    <w:rsid w:val="00B065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B9"/>
    <w:pPr>
      <w:ind w:left="720"/>
      <w:contextualSpacing/>
    </w:pPr>
  </w:style>
  <w:style w:type="table" w:styleId="TableGrid">
    <w:name w:val="Table Grid"/>
    <w:basedOn w:val="TableNormal"/>
    <w:uiPriority w:val="59"/>
    <w:rsid w:val="00DB2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75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AF0"/>
  </w:style>
  <w:style w:type="paragraph" w:styleId="Footer">
    <w:name w:val="footer"/>
    <w:basedOn w:val="Normal"/>
    <w:link w:val="FooterChar"/>
    <w:uiPriority w:val="99"/>
    <w:unhideWhenUsed/>
    <w:rsid w:val="00875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AF0"/>
  </w:style>
  <w:style w:type="character" w:styleId="CommentReference">
    <w:name w:val="annotation reference"/>
    <w:basedOn w:val="DefaultParagraphFont"/>
    <w:uiPriority w:val="99"/>
    <w:semiHidden/>
    <w:unhideWhenUsed/>
    <w:rsid w:val="006440E6"/>
    <w:rPr>
      <w:sz w:val="16"/>
      <w:szCs w:val="16"/>
    </w:rPr>
  </w:style>
  <w:style w:type="paragraph" w:styleId="CommentText">
    <w:name w:val="annotation text"/>
    <w:basedOn w:val="Normal"/>
    <w:link w:val="CommentTextChar"/>
    <w:uiPriority w:val="99"/>
    <w:semiHidden/>
    <w:unhideWhenUsed/>
    <w:rsid w:val="006440E6"/>
    <w:pPr>
      <w:spacing w:line="240" w:lineRule="auto"/>
    </w:pPr>
    <w:rPr>
      <w:sz w:val="20"/>
      <w:szCs w:val="20"/>
    </w:rPr>
  </w:style>
  <w:style w:type="character" w:customStyle="1" w:styleId="CommentTextChar">
    <w:name w:val="Comment Text Char"/>
    <w:basedOn w:val="DefaultParagraphFont"/>
    <w:link w:val="CommentText"/>
    <w:uiPriority w:val="99"/>
    <w:semiHidden/>
    <w:rsid w:val="006440E6"/>
    <w:rPr>
      <w:sz w:val="20"/>
      <w:szCs w:val="20"/>
    </w:rPr>
  </w:style>
  <w:style w:type="paragraph" w:styleId="CommentSubject">
    <w:name w:val="annotation subject"/>
    <w:basedOn w:val="CommentText"/>
    <w:next w:val="CommentText"/>
    <w:link w:val="CommentSubjectChar"/>
    <w:uiPriority w:val="99"/>
    <w:semiHidden/>
    <w:unhideWhenUsed/>
    <w:rsid w:val="006440E6"/>
    <w:rPr>
      <w:b/>
      <w:bCs/>
    </w:rPr>
  </w:style>
  <w:style w:type="character" w:customStyle="1" w:styleId="CommentSubjectChar">
    <w:name w:val="Comment Subject Char"/>
    <w:basedOn w:val="CommentTextChar"/>
    <w:link w:val="CommentSubject"/>
    <w:uiPriority w:val="99"/>
    <w:semiHidden/>
    <w:rsid w:val="006440E6"/>
    <w:rPr>
      <w:b/>
      <w:bCs/>
      <w:sz w:val="20"/>
      <w:szCs w:val="20"/>
    </w:rPr>
  </w:style>
  <w:style w:type="paragraph" w:styleId="BalloonText">
    <w:name w:val="Balloon Text"/>
    <w:basedOn w:val="Normal"/>
    <w:link w:val="BalloonTextChar"/>
    <w:uiPriority w:val="99"/>
    <w:semiHidden/>
    <w:unhideWhenUsed/>
    <w:rsid w:val="0064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E6"/>
    <w:rPr>
      <w:rFonts w:ascii="Tahoma" w:hAnsi="Tahoma" w:cs="Tahoma"/>
      <w:sz w:val="16"/>
      <w:szCs w:val="16"/>
    </w:rPr>
  </w:style>
  <w:style w:type="paragraph" w:styleId="NormalWeb">
    <w:name w:val="Normal (Web)"/>
    <w:basedOn w:val="Normal"/>
    <w:uiPriority w:val="99"/>
    <w:unhideWhenUsed/>
    <w:rsid w:val="006027C7"/>
    <w:pPr>
      <w:spacing w:before="100" w:beforeAutospacing="1" w:after="100" w:afterAutospacing="1" w:line="240" w:lineRule="auto"/>
    </w:pPr>
    <w:rPr>
      <w:rFonts w:ascii="Times New Roman" w:hAnsi="Times New Roman" w:cs="Times New Roman"/>
      <w:sz w:val="24"/>
      <w:szCs w:val="24"/>
      <w:lang w:val="es-EC"/>
    </w:rPr>
  </w:style>
  <w:style w:type="paragraph" w:styleId="FootnoteText">
    <w:name w:val="footnote text"/>
    <w:basedOn w:val="Normal"/>
    <w:link w:val="FootnoteTextChar"/>
    <w:uiPriority w:val="99"/>
    <w:semiHidden/>
    <w:unhideWhenUsed/>
    <w:rsid w:val="00B06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5D3"/>
    <w:rPr>
      <w:sz w:val="20"/>
      <w:szCs w:val="20"/>
    </w:rPr>
  </w:style>
  <w:style w:type="character" w:styleId="FootnoteReference">
    <w:name w:val="footnote reference"/>
    <w:basedOn w:val="DefaultParagraphFont"/>
    <w:uiPriority w:val="99"/>
    <w:semiHidden/>
    <w:unhideWhenUsed/>
    <w:rsid w:val="00B06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6696">
      <w:bodyDiv w:val="1"/>
      <w:marLeft w:val="0"/>
      <w:marRight w:val="0"/>
      <w:marTop w:val="0"/>
      <w:marBottom w:val="0"/>
      <w:divBdr>
        <w:top w:val="none" w:sz="0" w:space="0" w:color="auto"/>
        <w:left w:val="none" w:sz="0" w:space="0" w:color="auto"/>
        <w:bottom w:val="none" w:sz="0" w:space="0" w:color="auto"/>
        <w:right w:val="none" w:sz="0" w:space="0" w:color="auto"/>
      </w:divBdr>
    </w:div>
    <w:div w:id="76526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C2013-80AA-4B34-8038-4008418C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1522</Words>
  <Characters>8680</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Dumas</dc:creator>
  <cp:lastModifiedBy>Marie Ewens Brown</cp:lastModifiedBy>
  <cp:revision>6</cp:revision>
  <cp:lastPrinted>2012-03-12T19:46:00Z</cp:lastPrinted>
  <dcterms:created xsi:type="dcterms:W3CDTF">2013-01-11T20:15:00Z</dcterms:created>
  <dcterms:modified xsi:type="dcterms:W3CDTF">2013-01-17T14:49:00Z</dcterms:modified>
</cp:coreProperties>
</file>